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W w:type="dxa" w:w="9306"/>
            <w:tcBorders>
              <w:top w:val="none" w:color="FFFFFF" w:sz="0"/>
              <w:left w:val="single" w:color="4F46E5" w:sz="48"/>
              <w:bottom w:val="none" w:color="FFFFFF" w:sz="0"/>
              <w:right w:val="none" w:color="FFFFFF" w:sz="0"/>
            </w:tcBorders>
            <w:shd w:fill="0F172A" w:color="auto" w:val="clear"/>
            <w:tcMar>
              <w:top w:type="dxa" w:w="900"/>
              <w:left w:type="dxa" w:w="560"/>
              <w:bottom w:type="dxa" w:w="900"/>
              <w:right w:type="dxa" w:w="560"/>
            </w:tcMar>
          </w:tcPr>
          <w:p>
            <w:pPr>
              <w:spacing w:after="360"/>
            </w:pPr>
            <w:r>
              <w:rPr>
                <w:rFonts w:ascii="Calibri" w:cs="Calibri" w:eastAsia="Calibri" w:hAnsi="Calibri"/>
                <w:b/>
                <w:bCs/>
                <w:color w:val="A5B4FC"/>
                <w:sz w:val="22"/>
                <w:szCs w:val="22"/>
              </w:rPr>
              <w:t xml:space="preserve">Seri Reformasi Layanan Primer — Buku 1</w:t>
            </w:r>
          </w:p>
          <w:p>
            <w:pPr>
              <w:spacing w:after="280" w:line="228" w:lineRule="auto"/>
            </w:pPr>
            <w:r>
              <w:rPr>
                <w:rFonts w:ascii="Calibri" w:cs="Calibri" w:eastAsia="Calibri" w:hAnsi="Calibri"/>
                <w:b/>
                <w:bCs/>
                <w:color w:val="FFFFFF"/>
                <w:sz w:val="84"/>
                <w:szCs w:val="84"/>
              </w:rPr>
              <w:t xml:space="preserve">Arsitek Dokter Keluarga</w:t>
            </w:r>
          </w:p>
          <w:p>
            <w:pPr>
              <w:spacing w:after="0" w:line="352" w:lineRule="auto"/>
            </w:pPr>
            <w:r>
              <w:rPr>
                <w:rFonts w:ascii="Calibri" w:cs="Calibri" w:eastAsia="Calibri" w:hAnsi="Calibri"/>
                <w:color w:val="CBD5E1"/>
                <w:sz w:val="28"/>
                <w:szCs w:val="28"/>
              </w:rPr>
              <w:t xml:space="preserve">Reformasi Layanan Primer Indonesia: Dari Kedokteran Kuratif Menuju Kedokteran Holistik yang Berkeadilan</w:t>
            </w:r>
          </w:p>
        </w:tc>
      </w:tr>
    </w:tbl>
    <w:p>
      <w:pPr>
        <w:spacing w:before="600"/>
      </w:pP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300"/>
        <w:gridCol w:w="7006"/>
      </w:tblGrid>
      <w:tr>
        <w:tc>
          <w:tcPr>
            <w:tcW w:type="dxa" w:w="2300"/>
            <w:tcBorders>
              <w:top w:val="none" w:color="FFFFFF" w:sz="0"/>
              <w:left w:val="none" w:color="FFFFFF" w:sz="0"/>
              <w:bottom w:val="single" w:color="E2E8F0" w:sz="4"/>
              <w:right w:val="none" w:color="FFFFFF" w:sz="0"/>
            </w:tcBorders>
            <w:tcMar>
              <w:top w:type="dxa" w:w="160"/>
              <w:left w:type="dxa" w:w="0"/>
              <w:bottom w:type="dxa" w:w="160"/>
              <w:right w:type="dxa" w:w="100"/>
            </w:tcMar>
          </w:tcPr>
          <w:p>
            <w:r>
              <w:rPr>
                <w:rFonts w:ascii="Calibri" w:cs="Calibri" w:eastAsia="Calibri" w:hAnsi="Calibri"/>
                <w:color w:val="64748B"/>
                <w:sz w:val="20"/>
                <w:szCs w:val="20"/>
              </w:rPr>
              <w:t xml:space="preserve">Penulis</w:t>
            </w:r>
          </w:p>
        </w:tc>
        <w:tc>
          <w:tcPr>
            <w:tcW w:type="dxa" w:w="7006"/>
            <w:tcBorders>
              <w:top w:val="none" w:color="FFFFFF" w:sz="0"/>
              <w:left w:val="none" w:color="FFFFFF" w:sz="0"/>
              <w:bottom w:val="single" w:color="E2E8F0" w:sz="4"/>
              <w:right w:val="none" w:color="FFFFFF" w:sz="0"/>
            </w:tcBorders>
            <w:tcMar>
              <w:top w:type="dxa" w:w="160"/>
              <w:left w:type="dxa" w:w="100"/>
              <w:bottom w:type="dxa" w:w="160"/>
              <w:right w:type="dxa" w:w="0"/>
            </w:tcMar>
          </w:tcPr>
          <w:p>
            <w:r>
              <w:rPr>
                <w:rFonts w:ascii="Calibri" w:cs="Calibri" w:eastAsia="Calibri" w:hAnsi="Calibri"/>
                <w:b/>
                <w:bCs/>
                <w:color w:val="0F172A"/>
                <w:sz w:val="22"/>
                <w:szCs w:val="22"/>
              </w:rPr>
              <w:t xml:space="preserve">Dr.dr. Jack Roebijoso, M.Sc.(om)., PKK.</w:t>
            </w:r>
          </w:p>
        </w:tc>
      </w:tr>
      <w:tr>
        <w:tc>
          <w:tcPr>
            <w:tcW w:type="dxa" w:w="2300"/>
            <w:tcBorders>
              <w:top w:val="none" w:color="FFFFFF" w:sz="0"/>
              <w:left w:val="none" w:color="FFFFFF" w:sz="0"/>
              <w:bottom w:val="single" w:color="E2E8F0" w:sz="4"/>
              <w:right w:val="none" w:color="FFFFFF" w:sz="0"/>
            </w:tcBorders>
            <w:tcMar>
              <w:top w:type="dxa" w:w="160"/>
              <w:left w:type="dxa" w:w="0"/>
              <w:bottom w:type="dxa" w:w="160"/>
              <w:right w:type="dxa" w:w="100"/>
            </w:tcMar>
          </w:tcPr>
          <w:p>
            <w:r>
              <w:rPr>
                <w:rFonts w:ascii="Calibri" w:cs="Calibri" w:eastAsia="Calibri" w:hAnsi="Calibri"/>
                <w:color w:val="64748B"/>
                <w:sz w:val="20"/>
                <w:szCs w:val="20"/>
              </w:rPr>
              <w:t xml:space="preserve">Editor / Penyusun</w:t>
            </w:r>
          </w:p>
        </w:tc>
        <w:tc>
          <w:tcPr>
            <w:tcW w:type="dxa" w:w="7006"/>
            <w:tcBorders>
              <w:top w:val="none" w:color="FFFFFF" w:sz="0"/>
              <w:left w:val="none" w:color="FFFFFF" w:sz="0"/>
              <w:bottom w:val="single" w:color="E2E8F0" w:sz="4"/>
              <w:right w:val="none" w:color="FFFFFF" w:sz="0"/>
            </w:tcBorders>
            <w:tcMar>
              <w:top w:type="dxa" w:w="160"/>
              <w:left w:type="dxa" w:w="100"/>
              <w:bottom w:type="dxa" w:w="160"/>
              <w:right w:type="dxa" w:w="0"/>
            </w:tcMar>
          </w:tcPr>
          <w:p>
            <w:r>
              <w:rPr>
                <w:rFonts w:ascii="Calibri" w:cs="Calibri" w:eastAsia="Calibri" w:hAnsi="Calibri"/>
                <w:b/>
                <w:bCs/>
                <w:color w:val="0F172A"/>
                <w:sz w:val="22"/>
                <w:szCs w:val="22"/>
              </w:rPr>
              <w:t xml:space="preserve">Dr.dr. Budi Siswanto, Sp.OG., Subsp.Obginsos., SH., S.Kom.</w:t>
            </w:r>
          </w:p>
        </w:tc>
      </w:tr>
      <w:tr>
        <w:tc>
          <w:tcPr>
            <w:tcW w:type="dxa" w:w="2300"/>
            <w:tcBorders>
              <w:top w:val="none" w:color="FFFFFF" w:sz="0"/>
              <w:left w:val="none" w:color="FFFFFF" w:sz="0"/>
              <w:bottom w:val="single" w:color="E2E8F0" w:sz="4"/>
              <w:right w:val="none" w:color="FFFFFF" w:sz="0"/>
            </w:tcBorders>
            <w:tcMar>
              <w:top w:type="dxa" w:w="160"/>
              <w:left w:type="dxa" w:w="0"/>
              <w:bottom w:type="dxa" w:w="160"/>
              <w:right w:type="dxa" w:w="100"/>
            </w:tcMar>
          </w:tcPr>
          <w:p>
            <w:r>
              <w:rPr>
                <w:rFonts w:ascii="Calibri" w:cs="Calibri" w:eastAsia="Calibri" w:hAnsi="Calibri"/>
                <w:color w:val="64748B"/>
                <w:sz w:val="20"/>
                <w:szCs w:val="20"/>
              </w:rPr>
              <w:t xml:space="preserve">Penerbit</w:t>
            </w:r>
          </w:p>
        </w:tc>
        <w:tc>
          <w:tcPr>
            <w:tcW w:type="dxa" w:w="7006"/>
            <w:tcBorders>
              <w:top w:val="none" w:color="FFFFFF" w:sz="0"/>
              <w:left w:val="none" w:color="FFFFFF" w:sz="0"/>
              <w:bottom w:val="single" w:color="E2E8F0" w:sz="4"/>
              <w:right w:val="none" w:color="FFFFFF" w:sz="0"/>
            </w:tcBorders>
            <w:tcMar>
              <w:top w:type="dxa" w:w="160"/>
              <w:left w:type="dxa" w:w="100"/>
              <w:bottom w:type="dxa" w:w="160"/>
              <w:right w:type="dxa" w:w="0"/>
            </w:tcMar>
          </w:tcPr>
          <w:p>
            <w:r>
              <w:rPr>
                <w:rFonts w:ascii="Calibri" w:cs="Calibri" w:eastAsia="Calibri" w:hAnsi="Calibri"/>
                <w:b/>
                <w:bCs/>
                <w:color w:val="0F172A"/>
                <w:sz w:val="22"/>
                <w:szCs w:val="22"/>
              </w:rPr>
              <w:t xml:space="preserve">Perpustakaan Digital ABBA • 2026</w:t>
            </w:r>
          </w:p>
        </w:tc>
      </w:tr>
    </w:tbl>
    <w:p>
      <w:pPr>
        <w:pStyle w:val="Heading1"/>
        <w:pageBreakBefore/>
      </w:pPr>
      <w:r>
        <w:rPr>
          <w:rFonts w:ascii="Calibri" w:cs="Calibri" w:eastAsia="Calibri" w:hAnsi="Calibri"/>
        </w:rPr>
        <w:t xml:space="preserve">Daftar Isi</w:t>
      </w:r>
    </w:p>
    <w:p>
      <w:pPr>
        <w:pBdr>
          <w:bottom w:val="single" w:color="E2E8F0" w:sz="4" w:space="6"/>
        </w:pBdr>
        <w:tabs>
          <w:tab w:val="left" w:pos="640"/>
        </w:tabs>
        <w:spacing w:after="90" w:before="90" w:line="320" w:lineRule="auto"/>
        <w:ind w:left="640" w:hanging="640"/>
      </w:pPr>
      <w:r>
        <w:rPr>
          <w:rFonts w:ascii="Calibri" w:cs="Calibri" w:eastAsia="Calibri" w:hAnsi="Calibri"/>
          <w:b/>
          <w:bCs/>
          <w:color w:val="4F46E5"/>
          <w:sz w:val="22"/>
          <w:szCs w:val="22"/>
        </w:rPr>
        <w:t xml:space="preserve">1.</w:t>
      </w:r>
      <w:r>
        <w:rPr>
          <w:rFonts w:ascii="Calibri" w:cs="Calibri" w:eastAsia="Calibri" w:hAnsi="Calibri"/>
        </w:rPr>
        <w:t xml:space="preserve">	</w:t>
      </w:r>
      <w:hyperlink w:history="1" w:anchor="bab-1">
        <w:r>
          <w:rPr>
            <w:rFonts w:ascii="Calibri" w:cs="Calibri" w:eastAsia="Calibri" w:hAnsi="Calibri"/>
            <w:color w:val="0F172A"/>
            <w:sz w:val="22"/>
            <w:szCs w:val="22"/>
          </w:rPr>
          <w:t xml:space="preserve">Sejarah dan Jiwa Dokter Keluarga Indonesia</w:t>
        </w:r>
      </w:hyperlink>
    </w:p>
    <w:p>
      <w:pPr>
        <w:pBdr>
          <w:bottom w:val="single" w:color="E2E8F0" w:sz="4" w:space="6"/>
        </w:pBdr>
        <w:tabs>
          <w:tab w:val="left" w:pos="640"/>
        </w:tabs>
        <w:spacing w:after="90" w:before="90" w:line="320" w:lineRule="auto"/>
        <w:ind w:left="640" w:hanging="640"/>
      </w:pPr>
      <w:r>
        <w:rPr>
          <w:rFonts w:ascii="Calibri" w:cs="Calibri" w:eastAsia="Calibri" w:hAnsi="Calibri"/>
          <w:b/>
          <w:bCs/>
          <w:color w:val="4F46E5"/>
          <w:sz w:val="22"/>
          <w:szCs w:val="22"/>
        </w:rPr>
        <w:t xml:space="preserve">2.</w:t>
      </w:r>
      <w:r>
        <w:rPr>
          <w:rFonts w:ascii="Calibri" w:cs="Calibri" w:eastAsia="Calibri" w:hAnsi="Calibri"/>
        </w:rPr>
        <w:t xml:space="preserve">	</w:t>
      </w:r>
      <w:hyperlink w:history="1" w:anchor="bab-2">
        <w:r>
          <w:rPr>
            <w:rFonts w:ascii="Calibri" w:cs="Calibri" w:eastAsia="Calibri" w:hAnsi="Calibri"/>
            <w:color w:val="0F172A"/>
            <w:sz w:val="22"/>
            <w:szCs w:val="22"/>
          </w:rPr>
          <w:t xml:space="preserve">Kritik atas Medikalisasi: Liberalisme, Sosialisme, dan “Penjajahan Medis”</w:t>
        </w:r>
      </w:hyperlink>
    </w:p>
    <w:p>
      <w:pPr>
        <w:pBdr>
          <w:bottom w:val="single" w:color="E2E8F0" w:sz="4" w:space="6"/>
        </w:pBdr>
        <w:tabs>
          <w:tab w:val="left" w:pos="640"/>
        </w:tabs>
        <w:spacing w:after="90" w:before="90" w:line="320" w:lineRule="auto"/>
        <w:ind w:left="640" w:hanging="640"/>
      </w:pPr>
      <w:r>
        <w:rPr>
          <w:rFonts w:ascii="Calibri" w:cs="Calibri" w:eastAsia="Calibri" w:hAnsi="Calibri"/>
          <w:b/>
          <w:bCs/>
          <w:color w:val="4F46E5"/>
          <w:sz w:val="22"/>
          <w:szCs w:val="22"/>
        </w:rPr>
        <w:t xml:space="preserve">3.</w:t>
      </w:r>
      <w:r>
        <w:rPr>
          <w:rFonts w:ascii="Calibri" w:cs="Calibri" w:eastAsia="Calibri" w:hAnsi="Calibri"/>
        </w:rPr>
        <w:t xml:space="preserve">	</w:t>
      </w:r>
      <w:hyperlink w:history="1" w:anchor="bab-3">
        <w:r>
          <w:rPr>
            <w:rFonts w:ascii="Calibri" w:cs="Calibri" w:eastAsia="Calibri" w:hAnsi="Calibri"/>
            <w:color w:val="0F172A"/>
            <w:sz w:val="22"/>
            <w:szCs w:val="22"/>
          </w:rPr>
          <w:t xml:space="preserve">Menuju Kedokteran Holistik dan Pemberdayaan Hidup Sehat</w:t>
        </w:r>
      </w:hyperlink>
    </w:p>
    <w:p>
      <w:pPr>
        <w:pBdr>
          <w:bottom w:val="single" w:color="E2E8F0" w:sz="4" w:space="6"/>
        </w:pBdr>
        <w:tabs>
          <w:tab w:val="left" w:pos="640"/>
        </w:tabs>
        <w:spacing w:after="90" w:before="90" w:line="320" w:lineRule="auto"/>
        <w:ind w:left="640" w:hanging="640"/>
      </w:pPr>
      <w:r>
        <w:rPr>
          <w:rFonts w:ascii="Calibri" w:cs="Calibri" w:eastAsia="Calibri" w:hAnsi="Calibri"/>
          <w:b/>
          <w:bCs/>
          <w:color w:val="4F46E5"/>
          <w:sz w:val="22"/>
          <w:szCs w:val="22"/>
        </w:rPr>
        <w:t xml:space="preserve">4.</w:t>
      </w:r>
      <w:r>
        <w:rPr>
          <w:rFonts w:ascii="Calibri" w:cs="Calibri" w:eastAsia="Calibri" w:hAnsi="Calibri"/>
        </w:rPr>
        <w:t xml:space="preserve">	</w:t>
      </w:r>
      <w:hyperlink w:history="1" w:anchor="bab-4">
        <w:r>
          <w:rPr>
            <w:rFonts w:ascii="Calibri" w:cs="Calibri" w:eastAsia="Calibri" w:hAnsi="Calibri"/>
            <w:color w:val="0F172A"/>
            <w:sz w:val="22"/>
            <w:szCs w:val="22"/>
          </w:rPr>
          <w:t xml:space="preserve">Membangun Kompetensi Strategik Dokter Keluarga</w:t>
        </w:r>
      </w:hyperlink>
    </w:p>
    <w:p>
      <w:pPr>
        <w:pBdr>
          <w:bottom w:val="single" w:color="E2E8F0" w:sz="4" w:space="6"/>
        </w:pBdr>
        <w:tabs>
          <w:tab w:val="left" w:pos="640"/>
        </w:tabs>
        <w:spacing w:after="90" w:before="90" w:line="320" w:lineRule="auto"/>
        <w:ind w:left="640" w:hanging="640"/>
      </w:pPr>
      <w:r>
        <w:rPr>
          <w:rFonts w:ascii="Calibri" w:cs="Calibri" w:eastAsia="Calibri" w:hAnsi="Calibri"/>
          <w:b/>
          <w:bCs/>
          <w:color w:val="4F46E5"/>
          <w:sz w:val="22"/>
          <w:szCs w:val="22"/>
        </w:rPr>
        <w:t xml:space="preserve">5.</w:t>
      </w:r>
      <w:r>
        <w:rPr>
          <w:rFonts w:ascii="Calibri" w:cs="Calibri" w:eastAsia="Calibri" w:hAnsi="Calibri"/>
        </w:rPr>
        <w:t xml:space="preserve">	</w:t>
      </w:r>
      <w:hyperlink w:history="1" w:anchor="bab-5">
        <w:r>
          <w:rPr>
            <w:rFonts w:ascii="Calibri" w:cs="Calibri" w:eastAsia="Calibri" w:hAnsi="Calibri"/>
            <w:color w:val="0F172A"/>
            <w:sz w:val="22"/>
            <w:szCs w:val="22"/>
          </w:rPr>
          <w:t xml:space="preserve">Transformasi Layanan Primer: Pro-Growth, Pro-Job, Pro-Poor</w:t>
        </w:r>
      </w:hyperlink>
    </w:p>
    <w:p>
      <w:pPr>
        <w:pBdr>
          <w:bottom w:val="single" w:color="E2E8F0" w:sz="4" w:space="6"/>
        </w:pBdr>
        <w:tabs>
          <w:tab w:val="left" w:pos="640"/>
        </w:tabs>
        <w:spacing w:after="90" w:before="90" w:line="320" w:lineRule="auto"/>
        <w:ind w:left="640" w:hanging="640"/>
      </w:pPr>
      <w:r>
        <w:rPr>
          <w:rFonts w:ascii="Calibri" w:cs="Calibri" w:eastAsia="Calibri" w:hAnsi="Calibri"/>
          <w:b/>
          <w:bCs/>
          <w:color w:val="4F46E5"/>
          <w:sz w:val="22"/>
          <w:szCs w:val="22"/>
        </w:rPr>
        <w:t xml:space="preserve">6.</w:t>
      </w:r>
      <w:r>
        <w:rPr>
          <w:rFonts w:ascii="Calibri" w:cs="Calibri" w:eastAsia="Calibri" w:hAnsi="Calibri"/>
        </w:rPr>
        <w:t xml:space="preserve">	</w:t>
      </w:r>
      <w:hyperlink w:history="1" w:anchor="rangkuman">
        <w:r>
          <w:rPr>
            <w:rFonts w:ascii="Calibri" w:cs="Calibri" w:eastAsia="Calibri" w:hAnsi="Calibri"/>
            <w:color w:val="0F172A"/>
            <w:sz w:val="22"/>
            <w:szCs w:val="22"/>
          </w:rPr>
          <w:t xml:space="preserve">Rangkuman &amp; Penutup</w:t>
        </w:r>
      </w:hyperlink>
    </w:p>
    <w:p>
      <w:pPr>
        <w:pBdr>
          <w:bottom w:val="single" w:color="E2E8F0" w:sz="4" w:space="6"/>
        </w:pBdr>
        <w:tabs>
          <w:tab w:val="left" w:pos="640"/>
        </w:tabs>
        <w:spacing w:after="90" w:before="90" w:line="320" w:lineRule="auto"/>
        <w:ind w:left="640" w:hanging="640"/>
      </w:pPr>
      <w:r>
        <w:rPr>
          <w:rFonts w:ascii="Calibri" w:cs="Calibri" w:eastAsia="Calibri" w:hAnsi="Calibri"/>
          <w:b/>
          <w:bCs/>
          <w:color w:val="4F46E5"/>
          <w:sz w:val="22"/>
          <w:szCs w:val="22"/>
        </w:rPr>
        <w:t xml:space="preserve">7.</w:t>
      </w:r>
      <w:r>
        <w:rPr>
          <w:rFonts w:ascii="Calibri" w:cs="Calibri" w:eastAsia="Calibri" w:hAnsi="Calibri"/>
        </w:rPr>
        <w:t xml:space="preserve">	</w:t>
      </w:r>
      <w:hyperlink w:history="1" w:anchor="daftar-pustaka">
        <w:r>
          <w:rPr>
            <w:rFonts w:ascii="Calibri" w:cs="Calibri" w:eastAsia="Calibri" w:hAnsi="Calibri"/>
            <w:color w:val="0F172A"/>
            <w:sz w:val="22"/>
            <w:szCs w:val="22"/>
          </w:rPr>
          <w:t xml:space="preserve">Daftar Pustaka</w:t>
        </w:r>
      </w:hyperlink>
    </w:p>
    <w:p>
      <w:pPr>
        <w:pBdr>
          <w:bottom w:val="single" w:color="E2E8F0" w:sz="4" w:space="6"/>
        </w:pBdr>
        <w:tabs>
          <w:tab w:val="left" w:pos="640"/>
        </w:tabs>
        <w:spacing w:after="90" w:before="90" w:line="320" w:lineRule="auto"/>
        <w:ind w:left="640" w:hanging="640"/>
      </w:pPr>
      <w:r>
        <w:rPr>
          <w:rFonts w:ascii="Calibri" w:cs="Calibri" w:eastAsia="Calibri" w:hAnsi="Calibri"/>
          <w:b/>
          <w:bCs/>
          <w:color w:val="4F46E5"/>
          <w:sz w:val="22"/>
          <w:szCs w:val="22"/>
        </w:rPr>
        <w:t xml:space="preserve">8.</w:t>
      </w:r>
      <w:r>
        <w:rPr>
          <w:rFonts w:ascii="Calibri" w:cs="Calibri" w:eastAsia="Calibri" w:hAnsi="Calibri"/>
        </w:rPr>
        <w:t xml:space="preserve">	</w:t>
      </w:r>
      <w:hyperlink w:history="1" w:anchor="glosarium">
        <w:r>
          <w:rPr>
            <w:rFonts w:ascii="Calibri" w:cs="Calibri" w:eastAsia="Calibri" w:hAnsi="Calibri"/>
            <w:color w:val="0F172A"/>
            <w:sz w:val="22"/>
            <w:szCs w:val="22"/>
          </w:rPr>
          <w:t xml:space="preserve">Glosarium</w:t>
        </w:r>
      </w:hyperlink>
    </w:p>
    <w:p>
      <w:pPr>
        <w:pBdr>
          <w:bottom w:val="single" w:color="E2E8F0" w:sz="4" w:space="6"/>
        </w:pBdr>
        <w:tabs>
          <w:tab w:val="left" w:pos="640"/>
        </w:tabs>
        <w:spacing w:after="90" w:before="90" w:line="320" w:lineRule="auto"/>
        <w:ind w:left="640" w:hanging="640"/>
      </w:pPr>
      <w:r>
        <w:rPr>
          <w:rFonts w:ascii="Calibri" w:cs="Calibri" w:eastAsia="Calibri" w:hAnsi="Calibri"/>
          <w:b/>
          <w:bCs/>
          <w:color w:val="4F46E5"/>
          <w:sz w:val="22"/>
          <w:szCs w:val="22"/>
        </w:rPr>
        <w:t xml:space="preserve">9.</w:t>
      </w:r>
      <w:r>
        <w:rPr>
          <w:rFonts w:ascii="Calibri" w:cs="Calibri" w:eastAsia="Calibri" w:hAnsi="Calibri"/>
        </w:rPr>
        <w:t xml:space="preserve">	</w:t>
      </w:r>
      <w:hyperlink w:history="1" w:anchor="tentang">
        <w:r>
          <w:rPr>
            <w:rFonts w:ascii="Calibri" w:cs="Calibri" w:eastAsia="Calibri" w:hAnsi="Calibri"/>
            <w:color w:val="0F172A"/>
            <w:sz w:val="22"/>
            <w:szCs w:val="22"/>
          </w:rPr>
          <w:t xml:space="preserve">Tentang Penulis &amp; Editor</w:t>
        </w:r>
      </w:hyperlink>
    </w:p>
    <w:p>
      <w:pPr>
        <w:pStyle w:val="Heading1"/>
        <w:pageBreakBefore/>
      </w:pPr>
      <w:bookmarkStart w:name="kata-pengantar" w:id="1"/>
      <w:r>
        <w:rPr>
          <w:rFonts w:ascii="Calibri" w:cs="Calibri" w:eastAsia="Calibri" w:hAnsi="Calibri"/>
        </w:rPr>
        <w:t xml:space="preserve">Kata Pengantar Editor</w:t>
      </w:r>
      <w:bookmarkEnd w:id="1"/>
    </w:p>
    <w:p>
      <w:pPr>
        <w:spacing w:after="160" w:line="352" w:lineRule="auto"/>
      </w:pPr>
      <w:r>
        <w:rPr>
          <w:rFonts w:ascii="Calibri" w:cs="Calibri" w:eastAsia="Calibri" w:hAnsi="Calibri"/>
          <w:color w:val="334155"/>
          <w:sz w:val="21"/>
          <w:szCs w:val="21"/>
        </w:rPr>
        <w:t xml:space="preserve">Buku yang ada di tangan pembaca ini lahir dari puluhan naskah, modul pelatihan, dan catatan reflektif yang ditulis oleh Dr.dr. Jack Roebijoso, M.Sc.(om)., PKK. selama lebih dari tiga dekade menekuni praktik dan pemikiran kedokteran keluarga di Indonesia. Sebagai editor, tugas saya bukan mengubah gagasan penulis, melainkan merangkai serpihan naskah — kata pengantar, materi pelatihan PPSDM, kajian transformasi layanan primer, hingga kurikulum kompetensi strategik — menjadi satu alur bacaan yang utuh dan enak diikuti.</w:t>
      </w:r>
    </w:p>
    <w:p>
      <w:pPr>
        <w:spacing w:after="160" w:line="352" w:lineRule="auto"/>
      </w:pPr>
      <w:r>
        <w:rPr>
          <w:rFonts w:ascii="Calibri" w:cs="Calibri" w:eastAsia="Calibri" w:hAnsi="Calibri"/>
          <w:color w:val="334155"/>
          <w:sz w:val="21"/>
          <w:szCs w:val="21"/>
        </w:rPr>
        <w:t xml:space="preserve">Yang membuat pemikiran Dr. Jack istimewa adalah keberaniannya mempertanyakan asumsi dasar dunia kedokteran modern: bahwa pendekatan kuratif berbasis evidence based medicine adalah satu-satunya kebenaran. Ia menawarkan istilah-istilah tajam seperti “penjajahan medis” (medical imperialism) dan “medical industrial complex” untuk menggambarkan bagaimana industri farmasi dan alat kesehatan turut membentuk cara dokter berpikir dan bertindak. Dalam dunia kesehatan, sebagian pembaca mungkin akan merasa istilah-istilah ini terlalu keras. Meski demikian, saya memilih mempertahankannya apa adanya karena di situlah letak orisinalitas dan keberanian intelektual penulis.</w:t>
      </w:r>
    </w:p>
    <w:p>
      <w:pPr>
        <w:spacing w:after="160" w:line="352" w:lineRule="auto"/>
      </w:pPr>
      <w:r>
        <w:rPr>
          <w:rFonts w:ascii="Calibri" w:cs="Calibri" w:eastAsia="Calibri" w:hAnsi="Calibri"/>
          <w:color w:val="334155"/>
          <w:sz w:val="21"/>
          <w:szCs w:val="21"/>
        </w:rPr>
        <w:t xml:space="preserve">Agar buku ini “bulat” — dalam pengertian sebuah isu dibahas dari berbagai sudut pandang — saya menambahkan pada setiap bab sebuah kotak “Perspektif Tambahan” yang menghubungkan gagasan penulis dengan literatur dan kebijakan resmi yang dapat ditelusuri publik: Deklarasi Alma-Ata dan Astana dari WHO, kajian primary care dari Barbara Starfield, kebijakan Kementerian Kesehatan RI, serta regulasi Ikatan Dokter Indonesia dan Konsil Kedokteran Indonesia. Perspektif tambahan ini tidak dimaksudkan untuk membenarkan atau menyanggah penulis, melainkan memberi pembaca pijakan untuk menilai sendiri.</w:t>
      </w:r>
    </w:p>
    <w:p>
      <w:pPr>
        <w:pBdr>
          <w:top w:val="single" w:color="4F46E5" w:sz="12" w:space="10"/>
        </w:pBdr>
        <w:spacing w:after="40" w:before="360"/>
      </w:pPr>
      <w:r>
        <w:rPr>
          <w:rFonts w:ascii="Calibri" w:cs="Calibri" w:eastAsia="Calibri" w:hAnsi="Calibri"/>
          <w:b/>
          <w:bCs/>
          <w:color w:val="0F172A"/>
          <w:sz w:val="21"/>
          <w:szCs w:val="21"/>
        </w:rPr>
        <w:t xml:space="preserve">Dr.dr. Budi Siswanto, Sp.OG., Subsp.Obginsos., SH., S.Kom.</w:t>
      </w:r>
    </w:p>
    <w:p>
      <w:r>
        <w:rPr>
          <w:rFonts w:ascii="Calibri" w:cs="Calibri" w:eastAsia="Calibri" w:hAnsi="Calibri"/>
          <w:color w:val="64748B"/>
          <w:sz w:val="20"/>
          <w:szCs w:val="20"/>
        </w:rPr>
        <w:t xml:space="preserve">Editor / Penyusun</w:t>
      </w:r>
    </w:p>
    <w:p>
      <w:pPr>
        <w:keepNext/>
        <w:pageBreakBefore/>
        <w:spacing w:after="60"/>
      </w:pPr>
      <w:r>
        <w:rPr>
          <w:rFonts w:ascii="Calibri" w:cs="Calibri" w:eastAsia="Calibri" w:hAnsi="Calibri"/>
          <w:b/>
          <w:bCs/>
          <w:color w:val="4F46E5"/>
          <w:sz w:val="22"/>
          <w:szCs w:val="22"/>
        </w:rPr>
        <w:t xml:space="preserve">Bab 1</w:t>
      </w:r>
    </w:p>
    <w:p>
      <w:pPr>
        <w:pStyle w:val="Heading1"/>
      </w:pPr>
      <w:bookmarkStart w:name="bab-1" w:id="1"/>
      <w:r>
        <w:rPr>
          <w:rFonts w:ascii="Calibri" w:cs="Calibri" w:eastAsia="Calibri" w:hAnsi="Calibri"/>
        </w:rPr>
        <w:t xml:space="preserve">Sejarah dan Jiwa Dokter Keluarga Indonesia</w:t>
      </w:r>
      <w:bookmarkEnd w:id="1"/>
    </w:p>
    <w:p>
      <w:pPr>
        <w:spacing w:after="160" w:line="352" w:lineRule="auto"/>
      </w:pPr>
      <w:r>
        <w:rPr>
          <w:rFonts w:ascii="Calibri" w:cs="Calibri" w:eastAsia="Calibri" w:hAnsi="Calibri"/>
          <w:color w:val="334155"/>
          <w:sz w:val="21"/>
          <w:szCs w:val="21"/>
        </w:rPr>
        <w:t xml:space="preserve">Dr. Jack membuka gagasannya dengan sebuah pengakuan personal: perjalanannya memahami dokter keluarga dimulai bukan dari bangku kuliah, melainkan dari masa kecil menemani sang ayah, seorang mantri kesehatan di sebuah kawedanan di Blitar selatan, mengunjungi rumah demi rumah pasien dengan fasilitas dan biaya yang sangat terbatas. Pengalaman itu menanamkan keyakinan bahwa kedokteran keluarga sejati tumbuh dari bawah (bottom up) — dari pengalaman lapangan yang bertemu dengan kajian teori (top down) — bukan sekadar mengadopsi kurikulum negara lain secara mentah.</w:t>
      </w:r>
    </w:p>
    <w:p>
      <w:pPr>
        <w:pStyle w:val="Heading2"/>
      </w:pPr>
      <w:r>
        <w:rPr>
          <w:rFonts w:ascii="Calibri" w:cs="Calibri" w:eastAsia="Calibri" w:hAnsi="Calibri"/>
        </w:rPr>
        <w:t xml:space="preserve">Dari Gerakan Perorangan ke Kebutuhan Nasional</w:t>
      </w:r>
    </w:p>
    <w:p>
      <w:pPr>
        <w:spacing w:after="160" w:line="352" w:lineRule="auto"/>
      </w:pPr>
      <w:r>
        <w:rPr>
          <w:rFonts w:ascii="Calibri" w:cs="Calibri" w:eastAsia="Calibri" w:hAnsi="Calibri"/>
          <w:color w:val="334155"/>
          <w:sz w:val="21"/>
          <w:szCs w:val="21"/>
        </w:rPr>
        <w:t xml:space="preserve">Gagasan praktik dokter keluarga di Indonesia telah digaungkan sejak sekitar tahun 1982 oleh para perintis di lingkungan IDI, namun perkembangannya berjalan lambat dan tanpa arah yang menentu selama beberapa dekade. Momentum baru muncul ketika sistem Jaminan Kesehatan Nasional melalui BPJS Kesehatan mulai berjalan sejak 2014, yang menempatkan peran tim dokter keluarga sebagai gerbang utama (gate keeper) layanan kesehatan primer — sayangnya tanpa disertai kejelasan sosok, standar, dan model manajemen praktik yang mapan. Di Indonesia, kondisi yang dihadapi bisa berbeda dengan negara maju, sehingga jalan yang ditempuh pun tidak mungkin sama.</w:t>
      </w:r>
    </w:p>
    <w:p>
      <w:pPr>
        <w:spacing w:after="160" w:line="352" w:lineRule="auto"/>
      </w:pPr>
      <w:r>
        <w:rPr>
          <w:rFonts w:ascii="Calibri" w:cs="Calibri" w:eastAsia="Calibri" w:hAnsi="Calibri"/>
          <w:color w:val="334155"/>
          <w:sz w:val="21"/>
          <w:szCs w:val="21"/>
        </w:rPr>
        <w:t xml:space="preserve">Penulis menegaskan bahwa pertumbuhan dokter keluarga di suatu negara sangat ditentukan oleh kondisi politik, sosial, ekonomi, budaya, geografis, dan kependudukan setempat, sehingga meniru mentah-mentah teori dan bentuk praktik dari negara maju dianggap kurang tepat. Yang perlu disepakati bersama justru filosofi dasarnya: memberdayakan setiap sasaran layanan untuk hidup sehat dengan fasilitas kesehatan yang benar-benar terjangkau.</w:t>
      </w:r>
    </w:p>
    <w:p>
      <w:pPr>
        <w:spacing w:after="60"/>
      </w:pP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9306"/>
      </w:tblGrid>
      <w:tr>
        <w:trPr>
          <w:cantSplit/>
        </w:trPr>
        <w:tc>
          <w:tcPr>
            <w:tcW w:type="dxa" w:w="9306"/>
            <w:tcBorders>
              <w:top w:val="none" w:color="FFFFFF" w:sz="0"/>
              <w:left w:val="single" w:color="0E7490" w:sz="28"/>
              <w:bottom w:val="none" w:color="FFFFFF" w:sz="0"/>
              <w:right w:val="none" w:color="FFFFFF" w:sz="0"/>
            </w:tcBorders>
            <w:shd w:fill="ECFEFF" w:color="auto" w:val="clear"/>
            <w:tcMar>
              <w:top w:type="dxa" w:w="200"/>
              <w:left w:type="dxa" w:w="280"/>
              <w:bottom w:type="dxa" w:w="0"/>
              <w:right w:type="dxa" w:w="240"/>
            </w:tcMar>
          </w:tcPr>
          <w:p>
            <w:pPr>
              <w:spacing w:after="40"/>
            </w:pPr>
            <w:r>
              <w:rPr>
                <w:rFonts w:ascii="Calibri" w:cs="Calibri" w:eastAsia="Calibri" w:hAnsi="Calibri"/>
                <w:b/>
                <w:bCs/>
                <w:color w:val="0E7490"/>
                <w:sz w:val="19"/>
                <w:szCs w:val="19"/>
              </w:rPr>
              <w:t xml:space="preserve">Catatan Editor</w:t>
            </w:r>
          </w:p>
          <w:p>
            <w:pPr>
              <w:spacing w:after="140" w:line="300" w:lineRule="auto"/>
            </w:pPr>
            <w:r>
              <w:rPr>
                <w:rFonts w:ascii="Calibri" w:cs="Calibri" w:eastAsia="Calibri" w:hAnsi="Calibri"/>
                <w:b/>
                <w:bCs/>
                <w:color w:val="0F172A"/>
                <w:sz w:val="24"/>
                <w:szCs w:val="24"/>
              </w:rPr>
              <w:t xml:space="preserve">Apa yang dimaksud “filosofi” di sini, dan apa bedanya dengan psikologi?</w:t>
            </w:r>
          </w:p>
          <w:p>
            <w:pPr>
              <w:spacing w:after="140" w:line="340" w:lineRule="auto"/>
            </w:pPr>
            <w:r>
              <w:rPr>
                <w:rFonts w:ascii="Calibri" w:cs="Calibri" w:eastAsia="Calibri" w:hAnsi="Calibri"/>
                <w:color w:val="1E293B"/>
                <w:sz w:val="20"/>
                <w:szCs w:val="20"/>
              </w:rPr>
              <w:t xml:space="preserve">Dalam konteks ini, filosofi berarti landasan nilai dan cara pandang yang menjawab pertanyaan paling mendasar: untuk apa dokter keluarga hadir, bagi siapa, dan dengan prinsip apa ia bekerja. Filosofi bukanlah teknik atau prosedur, melainkan arah yang menentukan bagaimana semua teknik dan prosedur itu digunakan. Rumusan penulis memuat tiga gagasan pokok:</w:t>
            </w:r>
          </w:p>
        </w:tc>
      </w:tr>
      <w:tr>
        <w:trPr>
          <w:cantSplit/>
        </w:trPr>
        <w:tc>
          <w:tcPr>
            <w:tcW w:type="dxa" w:w="9306"/>
            <w:tcBorders>
              <w:top w:val="none" w:color="FFFFFF" w:sz="0"/>
              <w:left w:val="single" w:color="0E7490" w:sz="28"/>
              <w:bottom w:val="none" w:color="FFFFFF" w:sz="0"/>
              <w:right w:val="none" w:color="FFFFFF" w:sz="0"/>
            </w:tcBorders>
            <w:shd w:fill="ECFEFF" w:color="auto" w:val="clear"/>
            <w:tcMar>
              <w:top w:type="dxa" w:w="0"/>
              <w:left w:type="dxa" w:w="280"/>
              <w:bottom w:type="dxa" w:w="0"/>
              <w:right w:type="dxa" w:w="240"/>
            </w:tcMar>
          </w:tcPr>
          <w:p>
            <w:pPr>
              <w:pStyle w:val="ListParagraph"/>
              <w:numPr>
                <w:ilvl w:val="0"/>
                <w:numId w:val="2"/>
              </w:numPr>
              <w:spacing w:after="100" w:line="340" w:lineRule="auto"/>
            </w:pPr>
            <w:r>
              <w:rPr>
                <w:rFonts w:ascii="Calibri" w:cs="Calibri" w:eastAsia="Calibri" w:hAnsi="Calibri"/>
                <w:color w:val="1E293B"/>
                <w:sz w:val="20"/>
                <w:szCs w:val="20"/>
              </w:rPr>
              <w:t xml:space="preserve">Pemberdayaan: pasien dan keluarganya dipandang sebagai pihak yang mampu belajar dan bertindak untuk kesehatannya sendiri, bukan sekadar penerima obat dan tindakan medis.</w:t>
            </w:r>
          </w:p>
          <w:p>
            <w:pPr>
              <w:pStyle w:val="ListParagraph"/>
              <w:numPr>
                <w:ilvl w:val="0"/>
                <w:numId w:val="2"/>
              </w:numPr>
              <w:spacing w:after="100" w:line="340" w:lineRule="auto"/>
            </w:pPr>
            <w:r>
              <w:rPr>
                <w:rFonts w:ascii="Calibri" w:cs="Calibri" w:eastAsia="Calibri" w:hAnsi="Calibri"/>
                <w:color w:val="1E293B"/>
                <w:sz w:val="20"/>
                <w:szCs w:val="20"/>
              </w:rPr>
              <w:t xml:space="preserve">Hidup sehat sebagai tujuan: yang dikejar bukan hanya kesembuhan dari penyakit, tetapi kemampuan menjaga dan merawat kehidupan sehari-hari agar tetap sehat.</w:t>
            </w:r>
          </w:p>
          <w:p>
            <w:pPr>
              <w:pStyle w:val="ListParagraph"/>
              <w:numPr>
                <w:ilvl w:val="0"/>
                <w:numId w:val="2"/>
              </w:numPr>
              <w:spacing w:after="100" w:line="340" w:lineRule="auto"/>
            </w:pPr>
            <w:r>
              <w:rPr>
                <w:rFonts w:ascii="Calibri" w:cs="Calibri" w:eastAsia="Calibri" w:hAnsi="Calibri"/>
                <w:color w:val="1E293B"/>
                <w:sz w:val="20"/>
                <w:szCs w:val="20"/>
              </w:rPr>
              <w:t xml:space="preserve">Keterjangkauan: layanan harus benar-benar dapat diakses oleh siapa pun yang membutuhkan, bukan hanya baik di atas kertas.</w:t>
            </w:r>
          </w:p>
        </w:tc>
      </w:tr>
      <w:tr>
        <w:trPr>
          <w:cantSplit/>
        </w:trPr>
        <w:tc>
          <w:tcPr>
            <w:tcW w:type="dxa" w:w="9306"/>
            <w:tcBorders>
              <w:top w:val="none" w:color="FFFFFF" w:sz="0"/>
              <w:left w:val="single" w:color="0E7490" w:sz="28"/>
              <w:bottom w:val="none" w:color="FFFFFF" w:sz="0"/>
              <w:right w:val="none" w:color="FFFFFF" w:sz="0"/>
            </w:tcBorders>
            <w:shd w:fill="ECFEFF" w:color="auto" w:val="clear"/>
            <w:tcMar>
              <w:top w:type="dxa" w:w="0"/>
              <w:left w:type="dxa" w:w="280"/>
              <w:bottom w:type="dxa" w:w="120"/>
              <w:right w:type="dxa" w:w="240"/>
            </w:tcMar>
          </w:tcPr>
          <w:p>
            <w:pPr>
              <w:spacing w:after="140" w:line="340" w:lineRule="auto"/>
            </w:pPr>
            <w:r>
              <w:rPr>
                <w:rFonts w:ascii="Calibri" w:cs="Calibri" w:eastAsia="Calibri" w:hAnsi="Calibri"/>
                <w:color w:val="1E293B"/>
                <w:sz w:val="20"/>
                <w:szCs w:val="20"/>
              </w:rPr>
              <w:t xml:space="preserve">Psikologi, sebaliknya, adalah cabang ilmu yang mempelajari pikiran, perasaan, dan perilaku manusia. Jika filosofi menjawab pertanyaan “mengapa dan untuk apa”, psikologi membantu menjawab pertanyaan “bagaimana manusia berpikir, merasa, dan berperilaku”. Keduanya berada pada tingkat yang berbeda: filosofi adalah kompas yang menetapkan tujuan, sedangkan psikologi adalah salah satu alat untuk mencapainya.</w:t>
            </w:r>
          </w:p>
        </w:tc>
      </w:tr>
    </w:tbl>
    <w:p>
      <w:pPr>
        <w:spacing w:after="160"/>
      </w:pPr>
    </w:p>
    <w:p>
      <w:pPr>
        <w:keepNext/>
        <w:spacing w:after="100" w:before="200"/>
      </w:pPr>
      <w:r>
        <w:rPr>
          <w:rFonts w:ascii="Calibri" w:cs="Calibri" w:eastAsia="Calibri" w:hAnsi="Calibri"/>
          <w:b/>
          <w:bCs/>
          <w:color w:val="64748B"/>
          <w:sz w:val="20"/>
          <w:szCs w:val="20"/>
        </w:rPr>
        <w:t xml:space="preserve">Perbandingan singkat</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047"/>
        <w:gridCol w:w="3629"/>
        <w:gridCol w:w="3630"/>
      </w:tblGrid>
      <w:tr>
        <w:trPr>
          <w:tblHeader/>
        </w:trPr>
        <w:tc>
          <w:tcPr>
            <w:tcW w:type="dxa" w:w="2047"/>
            <w:tcBorders>
              <w:top w:val="none" w:color="FFFFFF" w:sz="0"/>
              <w:left w:val="none" w:color="FFFFFF" w:sz="0"/>
              <w:bottom w:val="none" w:color="FFFFFF" w:sz="0"/>
              <w:right w:val="none" w:color="FFFFFF" w:sz="0"/>
            </w:tcBorders>
            <w:shd w:fill="0F172A" w:color="auto" w:val="clear"/>
            <w:tcMar>
              <w:top w:type="dxa" w:w="110"/>
              <w:left w:type="dxa" w:w="140"/>
              <w:bottom w:type="dxa" w:w="110"/>
              <w:right w:type="dxa" w:w="140"/>
            </w:tcMar>
            <w:vAlign w:val="center"/>
          </w:tcPr>
          <w:p>
            <w:r>
              <w:rPr>
                <w:rFonts w:ascii="Calibri" w:cs="Calibri" w:eastAsia="Calibri" w:hAnsi="Calibri"/>
                <w:b/>
                <w:bCs/>
                <w:color w:val="FFFFFF"/>
                <w:sz w:val="19"/>
                <w:szCs w:val="19"/>
              </w:rPr>
              <w:t xml:space="preserve">Aspek</w:t>
            </w:r>
          </w:p>
        </w:tc>
        <w:tc>
          <w:tcPr>
            <w:tcW w:type="dxa" w:w="3629"/>
            <w:tcBorders>
              <w:top w:val="none" w:color="FFFFFF" w:sz="0"/>
              <w:left w:val="none" w:color="FFFFFF" w:sz="0"/>
              <w:bottom w:val="none" w:color="FFFFFF" w:sz="0"/>
              <w:right w:val="none" w:color="FFFFFF" w:sz="0"/>
            </w:tcBorders>
            <w:shd w:fill="0F172A" w:color="auto" w:val="clear"/>
            <w:tcMar>
              <w:top w:type="dxa" w:w="110"/>
              <w:left w:type="dxa" w:w="140"/>
              <w:bottom w:type="dxa" w:w="110"/>
              <w:right w:type="dxa" w:w="140"/>
            </w:tcMar>
            <w:vAlign w:val="center"/>
          </w:tcPr>
          <w:p>
            <w:r>
              <w:rPr>
                <w:rFonts w:ascii="Calibri" w:cs="Calibri" w:eastAsia="Calibri" w:hAnsi="Calibri"/>
                <w:b/>
                <w:bCs/>
                <w:color w:val="FFFFFF"/>
                <w:sz w:val="19"/>
                <w:szCs w:val="19"/>
              </w:rPr>
              <w:t xml:space="preserve">Filosofi</w:t>
            </w:r>
          </w:p>
        </w:tc>
        <w:tc>
          <w:tcPr>
            <w:tcW w:type="dxa" w:w="3630"/>
            <w:tcBorders>
              <w:top w:val="none" w:color="FFFFFF" w:sz="0"/>
              <w:left w:val="none" w:color="FFFFFF" w:sz="0"/>
              <w:bottom w:val="none" w:color="FFFFFF" w:sz="0"/>
              <w:right w:val="none" w:color="FFFFFF" w:sz="0"/>
            </w:tcBorders>
            <w:shd w:fill="0F172A" w:color="auto" w:val="clear"/>
            <w:tcMar>
              <w:top w:type="dxa" w:w="110"/>
              <w:left w:type="dxa" w:w="140"/>
              <w:bottom w:type="dxa" w:w="110"/>
              <w:right w:type="dxa" w:w="140"/>
            </w:tcMar>
            <w:vAlign w:val="center"/>
          </w:tcPr>
          <w:p>
            <w:r>
              <w:rPr>
                <w:rFonts w:ascii="Calibri" w:cs="Calibri" w:eastAsia="Calibri" w:hAnsi="Calibri"/>
                <w:b/>
                <w:bCs/>
                <w:color w:val="FFFFFF"/>
                <w:sz w:val="19"/>
                <w:szCs w:val="19"/>
              </w:rPr>
              <w:t xml:space="preserve">Psikologi</w:t>
            </w:r>
          </w:p>
        </w:tc>
      </w:tr>
      <w:tr>
        <w:trPr>
          <w:cantSplit/>
        </w:trPr>
        <w:tc>
          <w:tcPr>
            <w:tcW w:type="dxa" w:w="2047"/>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Pertanyaan pokok</w:t>
            </w:r>
          </w:p>
        </w:tc>
        <w:tc>
          <w:tcPr>
            <w:tcW w:type="dxa" w:w="3629"/>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Mengapa dan untuk apa dokter keluarga bekerja?</w:t>
            </w:r>
          </w:p>
        </w:tc>
        <w:tc>
          <w:tcPr>
            <w:tcW w:type="dxa" w:w="3630"/>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Bagaimana manusia berpikir, merasa, dan berperilaku?</w:t>
            </w:r>
          </w:p>
        </w:tc>
      </w:tr>
      <w:tr>
        <w:trPr>
          <w:cantSplit/>
        </w:trPr>
        <w:tc>
          <w:tcPr>
            <w:tcW w:type="dxa" w:w="2047"/>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Sifat</w:t>
            </w:r>
          </w:p>
        </w:tc>
        <w:tc>
          <w:tcPr>
            <w:tcW w:type="dxa" w:w="3629"/>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Landasan nilai dan arah yang disepakati bersama</w:t>
            </w:r>
          </w:p>
        </w:tc>
        <w:tc>
          <w:tcPr>
            <w:tcW w:type="dxa" w:w="3630"/>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Ilmu yang memakai metode untuk memahami pikiran dan perilaku</w:t>
            </w:r>
          </w:p>
        </w:tc>
      </w:tr>
      <w:tr>
        <w:trPr>
          <w:cantSplit/>
        </w:trPr>
        <w:tc>
          <w:tcPr>
            <w:tcW w:type="dxa" w:w="2047"/>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Contoh dalam praktik</w:t>
            </w:r>
          </w:p>
        </w:tc>
        <w:tc>
          <w:tcPr>
            <w:tcW w:type="dxa" w:w="3629"/>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Setiap pasien berhak dan mampu diberdayakan untuk hidup sehat</w:t>
            </w:r>
          </w:p>
        </w:tc>
        <w:tc>
          <w:tcPr>
            <w:tcW w:type="dxa" w:w="3630"/>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Memahami mengapa pasien sulit mengubah kebiasaan, lalu memilih cara komunikasi yang memotivasinya</w:t>
            </w:r>
          </w:p>
        </w:tc>
      </w:tr>
    </w:tbl>
    <w:p>
      <w:pPr>
        <w:spacing w:after="120"/>
      </w:pPr>
    </w:p>
    <w:p>
      <w:pPr>
        <w:spacing w:after="160" w:line="352" w:lineRule="auto"/>
      </w:pPr>
      <w:r>
        <w:rPr>
          <w:rFonts w:ascii="Calibri" w:cs="Calibri" w:eastAsia="Calibri" w:hAnsi="Calibri"/>
          <w:color w:val="334155"/>
          <w:sz w:val="21"/>
          <w:szCs w:val="21"/>
        </w:rPr>
        <w:t xml:space="preserve">Dalam praktik, keduanya saling melengkapi. Filosofi pemberdayaan menetapkan bahwa dokter perlu mengajak pasien berubah, sedangkan psikologi membantu dokter memahami hambatan dan motivasi pasien. Karena itu, dimensi “psiko” juga hadir dalam rumusan penulis tentang etno-sosio-psiko-spirituo-medico centrism pada Bab 3, sebagai salah satu sudut pandang dan bukan sebagai pengganti filosofi dasarnya.</w:t>
      </w:r>
    </w:p>
    <w:p>
      <w:pPr>
        <w:pStyle w:val="Heading2"/>
      </w:pPr>
      <w:r>
        <w:rPr>
          <w:rFonts w:ascii="Calibri" w:cs="Calibri" w:eastAsia="Calibri" w:hAnsi="Calibri"/>
        </w:rPr>
        <w:t xml:space="preserve">Dua Pendekatan yang Harus Berjalan Beriringan</w:t>
      </w:r>
    </w:p>
    <w:p>
      <w:pPr>
        <w:spacing w:after="160" w:line="352" w:lineRule="auto"/>
      </w:pPr>
      <w:r>
        <w:rPr>
          <w:rFonts w:ascii="Calibri" w:cs="Calibri" w:eastAsia="Calibri" w:hAnsi="Calibri"/>
          <w:color w:val="334155"/>
          <w:sz w:val="21"/>
          <w:szCs w:val="21"/>
        </w:rPr>
        <w:t xml:space="preserve">Buku-buku awal penulis (materi berjudul “Memahami Dokter Keluarga Indonesia”) menegaskan bahwa kajian pustaka (top down) dan kajian praktik lapangan (bottom up) semestinya berjalan beriringan, agar praktik pelayanan oleh tim kesehatan dokter keluarga dapat cepat dibakukan, disepakati, dan didukung kebijakan pengambil keputusan. Tujuan akhirnya adalah organisasi klinik dokter keluarga yang terintegrasi secara konsepsional, sistematis, dan terukur dengan Puskesmas serta program keselamatan dan kesehatan kerja (K3), dalam kerangka Sistem Kesehatan Daerah maupun Sistem Kesehatan Nasional.</w:t>
      </w:r>
    </w:p>
    <w:p>
      <w:pPr>
        <w:spacing w:after="60"/>
      </w:pP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9306"/>
      </w:tblGrid>
      <w:tr>
        <w:trPr>
          <w:cantSplit/>
        </w:trPr>
        <w:tc>
          <w:tcPr>
            <w:tcW w:type="dxa" w:w="9306"/>
            <w:tcBorders>
              <w:top w:val="none" w:color="FFFFFF" w:sz="0"/>
              <w:left w:val="single" w:color="4F46E5" w:sz="28"/>
              <w:bottom w:val="none" w:color="FFFFFF" w:sz="0"/>
              <w:right w:val="none" w:color="FFFFFF" w:sz="0"/>
            </w:tcBorders>
            <w:shd w:fill="EEF2FF" w:color="auto" w:val="clear"/>
            <w:tcMar>
              <w:top w:type="dxa" w:w="200"/>
              <w:left w:type="dxa" w:w="280"/>
              <w:bottom w:type="dxa" w:w="0"/>
              <w:right w:type="dxa" w:w="240"/>
            </w:tcMar>
          </w:tcPr>
          <w:p>
            <w:pPr>
              <w:spacing w:after="40"/>
            </w:pPr>
            <w:r>
              <w:rPr>
                <w:rFonts w:ascii="Calibri" w:cs="Calibri" w:eastAsia="Calibri" w:hAnsi="Calibri"/>
                <w:b/>
                <w:bCs/>
                <w:color w:val="4F46E5"/>
                <w:sz w:val="19"/>
                <w:szCs w:val="19"/>
              </w:rPr>
              <w:t xml:space="preserve">Perspektif Tambahan</w:t>
            </w:r>
          </w:p>
          <w:p>
            <w:pPr>
              <w:spacing w:after="140" w:line="300" w:lineRule="auto"/>
            </w:pPr>
            <w:r>
              <w:rPr>
                <w:rFonts w:ascii="Calibri" w:cs="Calibri" w:eastAsia="Calibri" w:hAnsi="Calibri"/>
                <w:b/>
                <w:bCs/>
                <w:color w:val="0F172A"/>
                <w:sz w:val="24"/>
                <w:szCs w:val="24"/>
              </w:rPr>
              <w:t xml:space="preserve">Apa Kata Dunia tentang Layanan Primer?</w:t>
            </w:r>
          </w:p>
          <w:p>
            <w:pPr>
              <w:spacing w:after="140" w:line="340" w:lineRule="auto"/>
            </w:pPr>
            <w:r>
              <w:rPr>
                <w:rFonts w:ascii="Calibri" w:cs="Calibri" w:eastAsia="Calibri" w:hAnsi="Calibri"/>
                <w:color w:val="1E293B"/>
                <w:sz w:val="20"/>
                <w:szCs w:val="20"/>
              </w:rPr>
              <w:t xml:space="preserve">Gagasan penulis sejalan dengan semangat global. Deklarasi Alma-Ata (1978) oleh WHO/UNICEF pertama kali menegaskan pelayanan kesehatan primer sebagai kunci mencapai “Kesehatan untuk Semua”, dan empat dekade kemudian Deklarasi Astana (2018) menegaskan ulang komitmen tersebut sebagai fondasi cakupan kesehatan semesta (universal health coverage). Peneliti primary care Barbara Starfield juga membuktikan lewat riset lintas negara bahwa sistem kesehatan yang berorientasi layanan primer kuat berkorelasi dengan hasil kesehatan populasi yang lebih baik dan biaya yang lebih efisien dibanding sistem yang berorientasi spesialistik/rumah sakit.</w:t>
            </w:r>
          </w:p>
        </w:tc>
      </w:tr>
      <w:tr>
        <w:trPr>
          <w:cantSplit/>
        </w:trPr>
        <w:tc>
          <w:tcPr>
            <w:tcW w:type="dxa" w:w="9306"/>
            <w:tcBorders>
              <w:top w:val="none" w:color="FFFFFF" w:sz="0"/>
              <w:left w:val="single" w:color="4F46E5" w:sz="28"/>
              <w:bottom w:val="none" w:color="FFFFFF" w:sz="0"/>
              <w:right w:val="none" w:color="FFFFFF" w:sz="0"/>
            </w:tcBorders>
            <w:shd w:fill="EEF2FF" w:color="auto" w:val="clear"/>
            <w:tcMar>
              <w:top w:type="dxa" w:w="0"/>
              <w:left w:type="dxa" w:w="280"/>
              <w:bottom w:type="dxa" w:w="120"/>
              <w:right w:type="dxa" w:w="240"/>
            </w:tcMar>
          </w:tcPr>
          <w:p>
            <w:pPr>
              <w:spacing w:after="140" w:line="340" w:lineRule="auto"/>
            </w:pPr>
            <w:r>
              <w:rPr>
                <w:rFonts w:ascii="Calibri" w:cs="Calibri" w:eastAsia="Calibri" w:hAnsi="Calibri"/>
                <w:color w:val="1E293B"/>
                <w:sz w:val="20"/>
                <w:szCs w:val="20"/>
              </w:rPr>
              <w:t xml:space="preserve">Di sisi kebijakan nasional, Kementerian Kesehatan RI melalui transformasi layanan kesehatan (2022 dan seterusnya) juga mengarah pada penguatan enam pilar transformasi kesehatan, dengan layanan primer sebagai pilar pertama — memperkuat argumen penulis bahwa penataan dokter keluarga bukan wacana usang, melainkan agenda yang terus relevan. Pada akhirnya, layanan primer berperan menjaga dan merawat hidup masyarakat agar tetap sehat sekaligus produktif.</w:t>
            </w:r>
          </w:p>
        </w:tc>
      </w:tr>
    </w:tbl>
    <w:p>
      <w:pPr>
        <w:spacing w:after="160"/>
      </w:pPr>
    </w:p>
    <w:p>
      <w:pPr>
        <w:keepNext/>
        <w:pageBreakBefore/>
        <w:spacing w:after="60"/>
      </w:pPr>
      <w:r>
        <w:rPr>
          <w:rFonts w:ascii="Calibri" w:cs="Calibri" w:eastAsia="Calibri" w:hAnsi="Calibri"/>
          <w:b/>
          <w:bCs/>
          <w:color w:val="4F46E5"/>
          <w:sz w:val="22"/>
          <w:szCs w:val="22"/>
        </w:rPr>
        <w:t xml:space="preserve">Bab 2</w:t>
      </w:r>
    </w:p>
    <w:p>
      <w:pPr>
        <w:pStyle w:val="Heading1"/>
      </w:pPr>
      <w:bookmarkStart w:name="bab-2" w:id="1"/>
      <w:r>
        <w:rPr>
          <w:rFonts w:ascii="Calibri" w:cs="Calibri" w:eastAsia="Calibri" w:hAnsi="Calibri"/>
        </w:rPr>
        <w:t xml:space="preserve">Kritik atas Medikalisasi: Liberalisme, Sosialisme, dan “Penjajahan Medis”</w:t>
      </w:r>
      <w:bookmarkEnd w:id="1"/>
    </w:p>
    <w:p>
      <w:pPr>
        <w:spacing w:after="160" w:line="352" w:lineRule="auto"/>
      </w:pPr>
      <w:r>
        <w:rPr>
          <w:rFonts w:ascii="Calibri" w:cs="Calibri" w:eastAsia="Calibri" w:hAnsi="Calibri"/>
          <w:color w:val="334155"/>
          <w:sz w:val="21"/>
          <w:szCs w:val="21"/>
        </w:rPr>
        <w:t xml:space="preserve">Salah satu sumbangan pemikiran paling tajam dari Dr. Jack adalah kritiknya terhadap dua kutub model pelayanan kesehatan yang menurutnya sama-sama bermasalah: model liberalistik (praktik swasta berbasis fee-for-service yang berpotensi eksploitatif) dan model sosialistik (layanan murah terkendali seperti BPJS/Puskesmas yang berisiko pada “pembodohan” atau obscurantism akibat minimnya edukasi dan pemberdayaan pasien).</w:t>
      </w:r>
    </w:p>
    <w:p>
      <w:pPr>
        <w:pStyle w:val="Heading2"/>
      </w:pPr>
      <w:r>
        <w:rPr>
          <w:rFonts w:ascii="Calibri" w:cs="Calibri" w:eastAsia="Calibri" w:hAnsi="Calibri"/>
        </w:rPr>
        <w:t xml:space="preserve">Ketika Pasien Tidak Bisa Memilih Sendiri</w:t>
      </w:r>
    </w:p>
    <w:p>
      <w:pPr>
        <w:spacing w:after="160" w:line="352" w:lineRule="auto"/>
      </w:pPr>
      <w:r>
        <w:rPr>
          <w:rFonts w:ascii="Calibri" w:cs="Calibri" w:eastAsia="Calibri" w:hAnsi="Calibri"/>
          <w:color w:val="334155"/>
          <w:sz w:val="21"/>
          <w:szCs w:val="21"/>
        </w:rPr>
        <w:t xml:space="preserve">Untuk memahami persoalannya, kita perlu melihat bagaimana pengobatan dan pelayanan kesehatan dihadapi pasien saat ini. Contoh masalahnya tampak pada gejala sakit dan penyakit yang dialami pasien. Gejala itu tidak muncul dalam ruang hampa, melainkan berkaitan dengan kondisi sosial, budaya, ergonomi (kesesuaian antara manusia dan lingkungan kerjanya), ekologi, dan spiritual yang ada pada diri pasien beserta keluarganya.</w:t>
      </w:r>
    </w:p>
    <w:p>
      <w:pPr>
        <w:spacing w:after="160" w:line="352" w:lineRule="auto"/>
      </w:pPr>
      <w:r>
        <w:rPr>
          <w:rFonts w:ascii="Calibri" w:cs="Calibri" w:eastAsia="Calibri" w:hAnsi="Calibri"/>
          <w:color w:val="334155"/>
          <w:sz w:val="21"/>
          <w:szCs w:val="21"/>
        </w:rPr>
        <w:t xml:space="preserve">Penulis menyoroti bahwa pelayanan kesehatan tidak tunduk pada hukum ekonomi supply-and-demand biasa, karena pasien tidak dapat menentukan sendiri kebutuhan medisnya — keputusan tentang obat, pemeriksaan, dan tindakan sepenuhnya berada di tangan dokter. Situasi asimetri informasi ini, jika tidak dikawal etika dan sistem yang baik, dapat mendorong over-diagnosis maupun overtreatment demi kepentingan finansial dokter dan industri kesehatan — sebuah fenomena yang dalam sosiologi kesehatan disebut “medical industrial complex” (istilah yang dipopulerkan psikiater sosial Leon Eisenberg pada 1982).</w:t>
      </w:r>
    </w:p>
    <w:p>
      <w:pPr>
        <w:spacing w:after="160" w:line="352" w:lineRule="auto"/>
      </w:pPr>
      <w:r>
        <w:rPr>
          <w:rFonts w:ascii="Calibri" w:cs="Calibri" w:eastAsia="Calibri" w:hAnsi="Calibri"/>
          <w:color w:val="334155"/>
          <w:sz w:val="21"/>
          <w:szCs w:val="21"/>
        </w:rPr>
        <w:t xml:space="preserve">Penulis juga mengkritik dominasi evidence based medicine (EBM) versi kuratif yang menurutnya banyak dibiayai industri farmasi sehingga cenderung menonjolkan solusi berbasis obat, sementara pendekatan gaya hidup (lifestyle intervention) dan holistik kurang mendapat tempat karena secara bisnis “kurang menguntungkan”. Ia meminjam istilah medical imperialism untuk menggambarkan bagaimana cara berpikir dokter di seluruh dunia, termasuk Indonesia, cenderung terlalu berorientasi kuratif (medico-centrism).</w:t>
      </w:r>
    </w:p>
    <w:p>
      <w:pPr>
        <w:pStyle w:val="Heading2"/>
      </w:pPr>
      <w:r>
        <w:rPr>
          <w:rFonts w:ascii="Calibri" w:cs="Calibri" w:eastAsia="Calibri" w:hAnsi="Calibri"/>
        </w:rPr>
        <w:t xml:space="preserve">Dilema BPJS: Murah tapi Berisiko Kurang Empati</w:t>
      </w:r>
    </w:p>
    <w:p>
      <w:pPr>
        <w:spacing w:after="160" w:line="352" w:lineRule="auto"/>
      </w:pPr>
      <w:r>
        <w:rPr>
          <w:rFonts w:ascii="Calibri" w:cs="Calibri" w:eastAsia="Calibri" w:hAnsi="Calibri"/>
          <w:color w:val="334155"/>
          <w:sz w:val="21"/>
          <w:szCs w:val="21"/>
        </w:rPr>
        <w:t xml:space="preserve">Di sisi lain, penulis mengamati bahwa sistem kapitasi dan honor tenaga kesehatan yang rendah dalam skema BPJS berisiko menurunkan kualitas layanan dan empati terhadap pasien, sementara indikator keberhasilan yang dipakai (Kesepakatan Kinerja Berbasis Kesepakatan/KBK) lebih berfokus pada luaran administratif ketimbang proses pemberdayaan pasien untuk hidup sehat. Ia menyimpulkan bahwa kedua model — liberalistik dan sosialistik — berjalan bersamaan secara “chaos” di Indonesia, berkontribusi pada masih tingginya penyakit menular kronis dan meningkatnya penyakit degeneratif setiap tahun.</w:t>
      </w:r>
    </w:p>
    <w:p>
      <w:pPr>
        <w:spacing w:after="60"/>
      </w:pP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9306"/>
      </w:tblGrid>
      <w:tr>
        <w:trPr>
          <w:cantSplit/>
        </w:trPr>
        <w:tc>
          <w:tcPr>
            <w:tcW w:type="dxa" w:w="9306"/>
            <w:tcBorders>
              <w:top w:val="none" w:color="FFFFFF" w:sz="0"/>
              <w:left w:val="single" w:color="4F46E5" w:sz="28"/>
              <w:bottom w:val="none" w:color="FFFFFF" w:sz="0"/>
              <w:right w:val="none" w:color="FFFFFF" w:sz="0"/>
            </w:tcBorders>
            <w:shd w:fill="EEF2FF" w:color="auto" w:val="clear"/>
            <w:tcMar>
              <w:top w:type="dxa" w:w="200"/>
              <w:left w:type="dxa" w:w="280"/>
              <w:bottom w:type="dxa" w:w="0"/>
              <w:right w:type="dxa" w:w="240"/>
            </w:tcMar>
          </w:tcPr>
          <w:p>
            <w:pPr>
              <w:spacing w:after="40"/>
            </w:pPr>
            <w:r>
              <w:rPr>
                <w:rFonts w:ascii="Calibri" w:cs="Calibri" w:eastAsia="Calibri" w:hAnsi="Calibri"/>
                <w:b/>
                <w:bCs/>
                <w:color w:val="4F46E5"/>
                <w:sz w:val="19"/>
                <w:szCs w:val="19"/>
              </w:rPr>
              <w:t xml:space="preserve">Perspektif Tambahan</w:t>
            </w:r>
          </w:p>
          <w:p>
            <w:pPr>
              <w:spacing w:after="140" w:line="300" w:lineRule="auto"/>
            </w:pPr>
            <w:r>
              <w:rPr>
                <w:rFonts w:ascii="Calibri" w:cs="Calibri" w:eastAsia="Calibri" w:hAnsi="Calibri"/>
                <w:b/>
                <w:bCs/>
                <w:color w:val="0F172A"/>
                <w:sz w:val="24"/>
                <w:szCs w:val="24"/>
              </w:rPr>
              <w:t xml:space="preserve">Diskusi yang Berimbang</w:t>
            </w:r>
          </w:p>
          <w:p>
            <w:pPr>
              <w:spacing w:after="140" w:line="340" w:lineRule="auto"/>
            </w:pPr>
            <w:r>
              <w:rPr>
                <w:rFonts w:ascii="Calibri" w:cs="Calibri" w:eastAsia="Calibri" w:hAnsi="Calibri"/>
                <w:color w:val="1E293B"/>
                <w:sz w:val="20"/>
                <w:szCs w:val="20"/>
              </w:rPr>
              <w:t xml:space="preserve">Kritik penulis terhadap pengaruh industri farmasi terhadap riset klinis memiliki paralel dalam literatur akademik arus utama, misalnya karya Ivan Illich, “Medical Nemesis” (1976), yang mengemukakan konsep iatrogenesis sosial dan budaya, serta berbagai kajian tentang conflict of interest dalam uji klinis yang dipublikasikan jurnal-jurnal kedokteran seperti BMJ dan The Lancet. Namun demikian, penting dicatat bahwa evidence based medicine sendiri, sebagaimana didefinisikan ulang oleh Sackett dkk. (1996), pada dasarnya adalah metode untuk mengintegrasikan bukti riset terbaik dengan keahlian klinis dan nilai pasien — bukan secara inheren “memihak” industri. Persoalan yang lebih tepat disasar adalah tata kelola pendanaan riset dan transparansi konflik kepentingan, bukan metode EBM itu sendiri.</w:t>
            </w:r>
          </w:p>
        </w:tc>
      </w:tr>
      <w:tr>
        <w:trPr>
          <w:cantSplit/>
        </w:trPr>
        <w:tc>
          <w:tcPr>
            <w:tcW w:type="dxa" w:w="9306"/>
            <w:tcBorders>
              <w:top w:val="none" w:color="FFFFFF" w:sz="0"/>
              <w:left w:val="single" w:color="4F46E5" w:sz="28"/>
              <w:bottom w:val="none" w:color="FFFFFF" w:sz="0"/>
              <w:right w:val="none" w:color="FFFFFF" w:sz="0"/>
            </w:tcBorders>
            <w:shd w:fill="EEF2FF" w:color="auto" w:val="clear"/>
            <w:tcMar>
              <w:top w:type="dxa" w:w="0"/>
              <w:left w:type="dxa" w:w="280"/>
              <w:bottom w:type="dxa" w:w="120"/>
              <w:right w:type="dxa" w:w="240"/>
            </w:tcMar>
          </w:tcPr>
          <w:p>
            <w:pPr>
              <w:spacing w:after="140" w:line="340" w:lineRule="auto"/>
            </w:pPr>
            <w:r>
              <w:rPr>
                <w:rFonts w:ascii="Calibri" w:cs="Calibri" w:eastAsia="Calibri" w:hAnsi="Calibri"/>
                <w:color w:val="1E293B"/>
                <w:sz w:val="20"/>
                <w:szCs w:val="20"/>
              </w:rPr>
              <w:t xml:space="preserve">Mengenai BPJS Kesehatan, laporan resmi Dewan Jaminan Sosial Nasional dan berbagai evaluasi akademik memang mencatat tantangan pembiayaan kapitasi FKTP dan tingginya rujukan ke FKRTL sebagai isu berulang, sehingga penguatan fungsi gate-keeper dan sistem rujukan berjenjang terus menjadi agenda reformasi BPJS Kesehatan hingga saat ini (per pertengahan 2026, jumlah peserta JKN tercatat lebih dari 284 juta jiwa menurut laporan resmi BPJS Kesehatan).</w:t>
            </w:r>
          </w:p>
        </w:tc>
      </w:tr>
    </w:tbl>
    <w:p>
      <w:pPr>
        <w:spacing w:after="160"/>
      </w:pPr>
    </w:p>
    <w:p>
      <w:pPr>
        <w:keepNext/>
        <w:pageBreakBefore/>
        <w:spacing w:after="60"/>
      </w:pPr>
      <w:r>
        <w:rPr>
          <w:rFonts w:ascii="Calibri" w:cs="Calibri" w:eastAsia="Calibri" w:hAnsi="Calibri"/>
          <w:b/>
          <w:bCs/>
          <w:color w:val="4F46E5"/>
          <w:sz w:val="22"/>
          <w:szCs w:val="22"/>
        </w:rPr>
        <w:t xml:space="preserve">Bab 3</w:t>
      </w:r>
    </w:p>
    <w:p>
      <w:pPr>
        <w:pStyle w:val="Heading1"/>
      </w:pPr>
      <w:bookmarkStart w:name="bab-3" w:id="1"/>
      <w:r>
        <w:rPr>
          <w:rFonts w:ascii="Calibri" w:cs="Calibri" w:eastAsia="Calibri" w:hAnsi="Calibri"/>
        </w:rPr>
        <w:t xml:space="preserve">Menuju Kedokteran Holistik dan Pemberdayaan Hidup Sehat</w:t>
      </w:r>
      <w:bookmarkEnd w:id="1"/>
    </w:p>
    <w:p>
      <w:pPr>
        <w:spacing w:after="160" w:line="352" w:lineRule="auto"/>
      </w:pPr>
      <w:r>
        <w:rPr>
          <w:rFonts w:ascii="Calibri" w:cs="Calibri" w:eastAsia="Calibri" w:hAnsi="Calibri"/>
          <w:color w:val="334155"/>
          <w:sz w:val="21"/>
          <w:szCs w:val="21"/>
        </w:rPr>
        <w:t xml:space="preserve">Sebagai jawaban atas kritiknya, penulis menawarkan paradigma “holistic evidence base medicine” — pendekatan yang memandang setiap keluhan sakit sebagai peristiwa multifaktor: etno-sosio-psiko-spirituo-medico centrism, bukan semata persoalan biomedis.</w:t>
      </w:r>
    </w:p>
    <w:p>
      <w:pPr>
        <w:pStyle w:val="Heading2"/>
      </w:pPr>
      <w:r>
        <w:rPr>
          <w:rFonts w:ascii="Calibri" w:cs="Calibri" w:eastAsia="Calibri" w:hAnsi="Calibri"/>
        </w:rPr>
        <w:t xml:space="preserve">Dari “Antidotum Medicine” ke “Supportive Medicine”</w:t>
      </w:r>
    </w:p>
    <w:p>
      <w:pPr>
        <w:spacing w:after="160" w:line="352" w:lineRule="auto"/>
      </w:pPr>
      <w:r>
        <w:rPr>
          <w:rFonts w:ascii="Calibri" w:cs="Calibri" w:eastAsia="Calibri" w:hAnsi="Calibri"/>
          <w:color w:val="334155"/>
          <w:sz w:val="21"/>
          <w:szCs w:val="21"/>
        </w:rPr>
        <w:t xml:space="preserve">Penulis membedakan era “antidotum medicine” (kedokteran kuratif yang menonjolkan obat sebagai penawar) dengan era “supportive medicine” yang menekankan pemberdayaan pasien untuk hidup sehat. Dalam pandangannya, dokter keluarga semestinya menjalankan peran ganda: pengobatan dasar sekaligus pemberdayaan perubahan perilaku, alih-alih sekadar meresepkan “obat seumur hidup” tanpa membicarakan modifikasi gaya hidup pasien.</w:t>
      </w:r>
    </w:p>
    <w:p>
      <w:pPr>
        <w:spacing w:after="160" w:line="352" w:lineRule="auto"/>
      </w:pPr>
      <w:r>
        <w:rPr>
          <w:rFonts w:ascii="Calibri" w:cs="Calibri" w:eastAsia="Calibri" w:hAnsi="Calibri"/>
          <w:color w:val="334155"/>
          <w:sz w:val="21"/>
          <w:szCs w:val="21"/>
        </w:rPr>
        <w:t xml:space="preserve">Contoh konkret yang diangkat penulis adalah pergeseran ambang batas diagnosis hipertensi dari 160/90 mmHg pada era 1980-an menjadi 140/90 mmHg pada standar yang lebih baru — pergeseran yang menurutnya lebih menonjolkan aspek “keharusan minum obat seumur hidup” dibandingkan pembahasan proporsional tentang intervensi gaya hidup sebagai lini pertama.</w:t>
      </w:r>
    </w:p>
    <w:p>
      <w:pPr>
        <w:pStyle w:val="Heading2"/>
      </w:pPr>
      <w:r>
        <w:rPr>
          <w:rFonts w:ascii="Calibri" w:cs="Calibri" w:eastAsia="Calibri" w:hAnsi="Calibri"/>
        </w:rPr>
        <w:t xml:space="preserve">Setiap Sakit adalah Peristiwa Spiritual</w:t>
      </w:r>
    </w:p>
    <w:p>
      <w:pPr>
        <w:spacing w:after="160" w:line="352" w:lineRule="auto"/>
      </w:pPr>
      <w:r>
        <w:rPr>
          <w:rFonts w:ascii="Calibri" w:cs="Calibri" w:eastAsia="Calibri" w:hAnsi="Calibri"/>
          <w:color w:val="334155"/>
          <w:sz w:val="21"/>
          <w:szCs w:val="21"/>
        </w:rPr>
        <w:t xml:space="preserve">Penulis mengajak tenaga kesehatan memandang setiap kejadian sakit dan sehat sebagai “peristiwa spiritual” bagi individu, keluarga, dan komunitas — sebuah ajakan untuk menumbuhkan sikap sabar, ikhlas, dan bersyukur sebagai bagian dari proses penyembuhan, sejalan dengan makna sumpah dokter untuk mengutamakan kepentingan pasien.</w:t>
      </w:r>
    </w:p>
    <w:p>
      <w:pPr>
        <w:spacing w:after="60"/>
      </w:pP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9306"/>
      </w:tblGrid>
      <w:tr>
        <w:trPr>
          <w:cantSplit/>
        </w:trPr>
        <w:tc>
          <w:tcPr>
            <w:tcW w:type="dxa" w:w="9306"/>
            <w:tcBorders>
              <w:top w:val="none" w:color="FFFFFF" w:sz="0"/>
              <w:left w:val="single" w:color="4F46E5" w:sz="28"/>
              <w:bottom w:val="none" w:color="FFFFFF" w:sz="0"/>
              <w:right w:val="none" w:color="FFFFFF" w:sz="0"/>
            </w:tcBorders>
            <w:shd w:fill="EEF2FF" w:color="auto" w:val="clear"/>
            <w:tcMar>
              <w:top w:type="dxa" w:w="200"/>
              <w:left w:type="dxa" w:w="280"/>
              <w:bottom w:type="dxa" w:w="0"/>
              <w:right w:type="dxa" w:w="240"/>
            </w:tcMar>
          </w:tcPr>
          <w:p>
            <w:pPr>
              <w:spacing w:after="40"/>
            </w:pPr>
            <w:r>
              <w:rPr>
                <w:rFonts w:ascii="Calibri" w:cs="Calibri" w:eastAsia="Calibri" w:hAnsi="Calibri"/>
                <w:b/>
                <w:bCs/>
                <w:color w:val="4F46E5"/>
                <w:sz w:val="19"/>
                <w:szCs w:val="19"/>
              </w:rPr>
              <w:t xml:space="preserve">Perspektif Tambahan</w:t>
            </w:r>
          </w:p>
          <w:p>
            <w:pPr>
              <w:spacing w:after="140" w:line="300" w:lineRule="auto"/>
            </w:pPr>
            <w:r>
              <w:rPr>
                <w:rFonts w:ascii="Calibri" w:cs="Calibri" w:eastAsia="Calibri" w:hAnsi="Calibri"/>
                <w:b/>
                <w:bCs/>
                <w:color w:val="0F172A"/>
                <w:sz w:val="24"/>
                <w:szCs w:val="24"/>
              </w:rPr>
              <w:t xml:space="preserve">Titik Temu dengan Kedokteran Berbasis Bukti Modern</w:t>
            </w:r>
          </w:p>
          <w:p>
            <w:pPr>
              <w:spacing w:after="140" w:line="340" w:lineRule="auto"/>
            </w:pPr>
            <w:r>
              <w:rPr>
                <w:rFonts w:ascii="Calibri" w:cs="Calibri" w:eastAsia="Calibri" w:hAnsi="Calibri"/>
                <w:color w:val="1E293B"/>
                <w:sz w:val="20"/>
                <w:szCs w:val="20"/>
              </w:rPr>
              <w:t xml:space="preserve">Gagasan “holistik” penulis beresonansi dengan perkembangan disiplin Lifestyle Medicine yang kini diakui secara global melalui American College of Lifestyle Medicine, yang menempatkan enam pilar (nutrisi, aktivitas fisik, tidur, manajemen stres, hubungan sosial, hindari zat adiktif) sebagai lini pertama pencegahan dan tata laksana penyakit kronis. Perlu diluruskan satu detail angka: batas 140/90 mmHg yang disebut penulis sebagai “standar baru” sesungguhnya adalah ambang dari pedoman Joint National Committee 7 (2003). Pedoman yang lebih baru, yaitu ACC/AHA 2017, bahkan menurunkan ambang diagnosis lebih jauh menjadi 130/80 mmHg — namun secara eksplisit tetap menempatkan modifikasi gaya hidup sebagai rekomendasi lini pertama sebelum terapi farmakologis pada kategori risiko rendah. Nuansa ini memperkuat, bukan menegasi, kekhawatiran penulis tentang perlunya edukasi gaya hidup yang memadai.</w:t>
            </w:r>
          </w:p>
        </w:tc>
      </w:tr>
      <w:tr>
        <w:trPr>
          <w:cantSplit/>
        </w:trPr>
        <w:tc>
          <w:tcPr>
            <w:tcW w:type="dxa" w:w="9306"/>
            <w:tcBorders>
              <w:top w:val="none" w:color="FFFFFF" w:sz="0"/>
              <w:left w:val="single" w:color="4F46E5" w:sz="28"/>
              <w:bottom w:val="none" w:color="FFFFFF" w:sz="0"/>
              <w:right w:val="none" w:color="FFFFFF" w:sz="0"/>
            </w:tcBorders>
            <w:shd w:fill="EEF2FF" w:color="auto" w:val="clear"/>
            <w:tcMar>
              <w:top w:type="dxa" w:w="0"/>
              <w:left w:type="dxa" w:w="280"/>
              <w:bottom w:type="dxa" w:w="120"/>
              <w:right w:type="dxa" w:w="240"/>
            </w:tcMar>
          </w:tcPr>
          <w:p>
            <w:pPr>
              <w:spacing w:after="140" w:line="340" w:lineRule="auto"/>
            </w:pPr>
            <w:r>
              <w:rPr>
                <w:rFonts w:ascii="Calibri" w:cs="Calibri" w:eastAsia="Calibri" w:hAnsi="Calibri"/>
                <w:color w:val="1E293B"/>
                <w:sz w:val="20"/>
                <w:szCs w:val="20"/>
              </w:rPr>
              <w:t xml:space="preserve">Aspek spiritualitas dalam penyembuhan juga memiliki dasar riset: tinjauan sistematis di jurnal-jurnal kesehatan masyarakat (misalnya oleh Koenig HG tentang spiritualitas dan kesehatan) menunjukkan korelasi positif antara praktik spiritual/religius dengan ketahanan psikologis pasien penyakit kronis, meski mekanismenya masih terus diteliti dan tidak menggantikan terapi medis standar.</w:t>
            </w:r>
          </w:p>
        </w:tc>
      </w:tr>
    </w:tbl>
    <w:p>
      <w:pPr>
        <w:spacing w:after="160"/>
      </w:pPr>
    </w:p>
    <w:p>
      <w:pPr>
        <w:keepNext/>
        <w:pageBreakBefore/>
        <w:spacing w:after="60"/>
      </w:pPr>
      <w:r>
        <w:rPr>
          <w:rFonts w:ascii="Calibri" w:cs="Calibri" w:eastAsia="Calibri" w:hAnsi="Calibri"/>
          <w:b/>
          <w:bCs/>
          <w:color w:val="4F46E5"/>
          <w:sz w:val="22"/>
          <w:szCs w:val="22"/>
        </w:rPr>
        <w:t xml:space="preserve">Bab 4</w:t>
      </w:r>
    </w:p>
    <w:p>
      <w:pPr>
        <w:pStyle w:val="Heading1"/>
      </w:pPr>
      <w:bookmarkStart w:name="bab-4" w:id="1"/>
      <w:r>
        <w:rPr>
          <w:rFonts w:ascii="Calibri" w:cs="Calibri" w:eastAsia="Calibri" w:hAnsi="Calibri"/>
        </w:rPr>
        <w:t xml:space="preserve">Membangun Kompetensi Strategik Dokter Keluarga</w:t>
      </w:r>
      <w:bookmarkEnd w:id="1"/>
    </w:p>
    <w:p>
      <w:pPr>
        <w:spacing w:after="160" w:line="352" w:lineRule="auto"/>
      </w:pPr>
      <w:r>
        <w:rPr>
          <w:rFonts w:ascii="Calibri" w:cs="Calibri" w:eastAsia="Calibri" w:hAnsi="Calibri"/>
          <w:color w:val="334155"/>
          <w:sz w:val="21"/>
          <w:szCs w:val="21"/>
        </w:rPr>
        <w:t xml:space="preserve">Bagian ini merangkum kontribusi penulis dalam merancang standar pelatihan dokter keluarga bersama PPSDM Kementerian Kesehatan, kajian atas peran Konsil Kedokteran Indonesia, serta rancangan kompetensi strategik praktik dokter keluarga di Laboratorium Ilmu Kedokteran Masyarakat/Ilmu Kedokteran Pencegahan FK Universitas Brawijaya.</w:t>
      </w:r>
    </w:p>
    <w:p>
      <w:pPr>
        <w:pStyle w:val="Heading2"/>
      </w:pPr>
      <w:r>
        <w:rPr>
          <w:rFonts w:ascii="Calibri" w:cs="Calibri" w:eastAsia="Calibri" w:hAnsi="Calibri"/>
        </w:rPr>
        <w:t xml:space="preserve">Organisasi dan Manajemen sebagai Kompetensi Inti</w:t>
      </w:r>
    </w:p>
    <w:p>
      <w:pPr>
        <w:spacing w:after="160" w:line="352" w:lineRule="auto"/>
      </w:pPr>
      <w:r>
        <w:rPr>
          <w:rFonts w:ascii="Calibri" w:cs="Calibri" w:eastAsia="Calibri" w:hAnsi="Calibri"/>
          <w:color w:val="334155"/>
          <w:sz w:val="21"/>
          <w:szCs w:val="21"/>
        </w:rPr>
        <w:t xml:space="preserve">Materi “Kompetensi Dokkel: Standar Pelatihan Dokter Keluarga PPSDM” yang disusun tim penulis menegaskan bahwa hasil evaluasi Survei Kesehatan Nasional (Suskesnas 2004) setelah empat dekade pembangunan Puskesmas tetap menunjukkan tingginya penyakit menular tradisional (TBC, malaria, kusta), meningkatnya penyakit infeksi baru (demam berdarah, HIV, flu burung), dan lonjakan penyakit degeneratif — sebuah bukti bahwa kompetensi klinis semata tidak cukup tanpa kompetensi organisasi dan manajemen pelayanan kesehatan yang mengintegrasikan Upaya Kesehatan Perorangan (UKP) dan Upaya Kesehatan Masyarakat (UKM) di wilayah kerja.</w:t>
      </w:r>
    </w:p>
    <w:p>
      <w:pPr>
        <w:spacing w:after="160" w:line="352" w:lineRule="auto"/>
      </w:pPr>
      <w:r>
        <w:rPr>
          <w:rFonts w:ascii="Calibri" w:cs="Calibri" w:eastAsia="Calibri" w:hAnsi="Calibri"/>
          <w:color w:val="334155"/>
          <w:sz w:val="21"/>
          <w:szCs w:val="21"/>
        </w:rPr>
        <w:t xml:space="preserve">Penulis merancang komponen kompetensi strategik mencakup kemampuan menyusun visi-misi klinik, memahami epidemiologi wilayah kerja, serta menjalin kemitraan lintas sektor — sebuah penekanan yang lebih luas dari sekadar kompetensi klinis kuratif yang selama ini menjadi fokus pendidikan kedokteran konvensional.</w:t>
      </w:r>
    </w:p>
    <w:p>
      <w:pPr>
        <w:pStyle w:val="Heading2"/>
      </w:pPr>
      <w:r>
        <w:rPr>
          <w:rFonts w:ascii="Calibri" w:cs="Calibri" w:eastAsia="Calibri" w:hAnsi="Calibri"/>
        </w:rPr>
        <w:t xml:space="preserve">Konsil Kedokteran dan Reformasi Kesehatan; Teaching Clinic dan Lifestyle Medicine</w:t>
      </w:r>
    </w:p>
    <w:p>
      <w:pPr>
        <w:spacing w:after="160" w:line="352" w:lineRule="auto"/>
      </w:pPr>
      <w:r>
        <w:rPr>
          <w:rFonts w:ascii="Calibri" w:cs="Calibri" w:eastAsia="Calibri" w:hAnsi="Calibri"/>
          <w:color w:val="334155"/>
          <w:sz w:val="21"/>
          <w:szCs w:val="21"/>
        </w:rPr>
        <w:t xml:space="preserve">Naskah penulis tentang Konsil Kedokteran Indonesia menyoroti peran lembaga ini dalam registrasi, standar pendidikan, dan pembinaan praktik kedokteran sebagai instrumen reformasi yang semestinya turut mendorong pengakuan formal terhadap kompetensi dokter keluarga/DLP (Dokter Layanan Primer), bukan sekadar dokter umum generik.</w:t>
      </w:r>
    </w:p>
    <w:p>
      <w:pPr>
        <w:spacing w:after="160" w:line="352" w:lineRule="auto"/>
      </w:pPr>
      <w:r>
        <w:rPr>
          <w:rFonts w:ascii="Calibri" w:cs="Calibri" w:eastAsia="Calibri" w:hAnsi="Calibri"/>
          <w:color w:val="334155"/>
          <w:sz w:val="21"/>
          <w:szCs w:val="21"/>
        </w:rPr>
        <w:t xml:space="preserve">Sebagai tindak lanjut praktis, penulis merintis kegiatan pilot project “Teaching Clinic” bagi calon dokter keluarga serta menyusun Rencana Pembelajaran Semester (RPS) mata kuliah Lifestyle Medicine untuk Program Studi Kekhususan Kedokteran Keluarga Layanan Primer (SpKKLP) FK Universitas Brawijaya — upaya menjembatani dunia akademik dengan praktik lapangan yang selama ini menjadi keresahan utamanya.</w:t>
      </w:r>
    </w:p>
    <w:p>
      <w:pPr>
        <w:pStyle w:val="ListParagraph"/>
        <w:numPr>
          <w:ilvl w:val="0"/>
          <w:numId w:val="2"/>
        </w:numPr>
        <w:spacing w:after="100" w:line="340" w:lineRule="auto"/>
      </w:pPr>
      <w:r>
        <w:rPr>
          <w:rFonts w:ascii="Calibri" w:cs="Calibri" w:eastAsia="Calibri" w:hAnsi="Calibri"/>
          <w:color w:val="334155"/>
          <w:sz w:val="21"/>
          <w:szCs w:val="21"/>
        </w:rPr>
        <w:t xml:space="preserve">Format modul FKTP Teaching Clinic — pedoman praktik lapangan calon dokter keluarga</w:t>
      </w:r>
    </w:p>
    <w:p>
      <w:pPr>
        <w:pStyle w:val="ListParagraph"/>
        <w:numPr>
          <w:ilvl w:val="0"/>
          <w:numId w:val="2"/>
        </w:numPr>
        <w:spacing w:after="100" w:line="340" w:lineRule="auto"/>
      </w:pPr>
      <w:r>
        <w:rPr>
          <w:rFonts w:ascii="Calibri" w:cs="Calibri" w:eastAsia="Calibri" w:hAnsi="Calibri"/>
          <w:color w:val="334155"/>
          <w:sz w:val="21"/>
          <w:szCs w:val="21"/>
        </w:rPr>
        <w:t xml:space="preserve">RPS Lifestyle Medicine SpKKLP FKUB — kurikulum kedokteran gaya hidup tingkat sub-spesialisasi</w:t>
      </w:r>
    </w:p>
    <w:p>
      <w:pPr>
        <w:pStyle w:val="ListParagraph"/>
        <w:numPr>
          <w:ilvl w:val="0"/>
          <w:numId w:val="2"/>
        </w:numPr>
        <w:spacing w:after="100" w:line="340" w:lineRule="auto"/>
      </w:pPr>
      <w:r>
        <w:rPr>
          <w:rFonts w:ascii="Calibri" w:cs="Calibri" w:eastAsia="Calibri" w:hAnsi="Calibri"/>
          <w:color w:val="334155"/>
          <w:sz w:val="21"/>
          <w:szCs w:val="21"/>
        </w:rPr>
        <w:t xml:space="preserve">Soal ujian kompetensi okupasi Universitas Brawijaya (2012 dan 2020) — instrumen evaluasi kompetensi kedokteran okupasi/kerja bagi mahasiswa kedokteran</w:t>
      </w:r>
    </w:p>
    <w:p>
      <w:pPr>
        <w:spacing w:after="60"/>
      </w:pP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9306"/>
      </w:tblGrid>
      <w:tr>
        <w:trPr>
          <w:cantSplit/>
        </w:trPr>
        <w:tc>
          <w:tcPr>
            <w:tcW w:type="dxa" w:w="9306"/>
            <w:tcBorders>
              <w:top w:val="none" w:color="FFFFFF" w:sz="0"/>
              <w:left w:val="single" w:color="4F46E5" w:sz="28"/>
              <w:bottom w:val="none" w:color="FFFFFF" w:sz="0"/>
              <w:right w:val="none" w:color="FFFFFF" w:sz="0"/>
            </w:tcBorders>
            <w:shd w:fill="EEF2FF" w:color="auto" w:val="clear"/>
            <w:tcMar>
              <w:top w:type="dxa" w:w="200"/>
              <w:left w:type="dxa" w:w="280"/>
              <w:bottom w:type="dxa" w:w="120"/>
              <w:right w:type="dxa" w:w="240"/>
            </w:tcMar>
          </w:tcPr>
          <w:p>
            <w:pPr>
              <w:spacing w:after="40"/>
            </w:pPr>
            <w:r>
              <w:rPr>
                <w:rFonts w:ascii="Calibri" w:cs="Calibri" w:eastAsia="Calibri" w:hAnsi="Calibri"/>
                <w:b/>
                <w:bCs/>
                <w:color w:val="4F46E5"/>
                <w:sz w:val="19"/>
                <w:szCs w:val="19"/>
              </w:rPr>
              <w:t xml:space="preserve">Perspektif Tambahan</w:t>
            </w:r>
          </w:p>
          <w:p>
            <w:pPr>
              <w:spacing w:after="140" w:line="300" w:lineRule="auto"/>
            </w:pPr>
            <w:r>
              <w:rPr>
                <w:rFonts w:ascii="Calibri" w:cs="Calibri" w:eastAsia="Calibri" w:hAnsi="Calibri"/>
                <w:b/>
                <w:bCs/>
                <w:color w:val="0F172A"/>
                <w:sz w:val="24"/>
                <w:szCs w:val="24"/>
              </w:rPr>
              <w:t xml:space="preserve">Payung Regulasi Nasional</w:t>
            </w:r>
          </w:p>
          <w:p>
            <w:pPr>
              <w:spacing w:after="140" w:line="340" w:lineRule="auto"/>
            </w:pPr>
            <w:r>
              <w:rPr>
                <w:rFonts w:ascii="Calibri" w:cs="Calibri" w:eastAsia="Calibri" w:hAnsi="Calibri"/>
                <w:color w:val="1E293B"/>
                <w:sz w:val="20"/>
                <w:szCs w:val="20"/>
              </w:rPr>
              <w:t xml:space="preserve">Upaya penulis merumuskan kompetensi dokter layanan primer sejalan dengan mandat Undang-Undang Nomor 17 Tahun 2023 tentang Kesehatan beserta turunannya, yang secara eksplisit mengatur penguatan layanan primer dan tenaga kesehatan strategis. Konsil Kedokteran Indonesia sendiri, berdasarkan Undang-Undang Nomor 29 Tahun 2004 tentang Praktik Kedokteran, memang diberi mandat menyusun standar kompetensi dan standar pendidikan profesi kedokteran, sehingga advokasi penulis agar KKI turut membakukan kompetensi dokter keluarga memiliki landasan hukum yang jelas.</w:t>
            </w:r>
          </w:p>
        </w:tc>
      </w:tr>
    </w:tbl>
    <w:p>
      <w:pPr>
        <w:spacing w:after="160"/>
      </w:pPr>
    </w:p>
    <w:p>
      <w:pPr>
        <w:keepNext/>
        <w:pageBreakBefore/>
        <w:spacing w:after="60"/>
      </w:pPr>
      <w:r>
        <w:rPr>
          <w:rFonts w:ascii="Calibri" w:cs="Calibri" w:eastAsia="Calibri" w:hAnsi="Calibri"/>
          <w:b/>
          <w:bCs/>
          <w:color w:val="4F46E5"/>
          <w:sz w:val="22"/>
          <w:szCs w:val="22"/>
        </w:rPr>
        <w:t xml:space="preserve">Bab 5</w:t>
      </w:r>
    </w:p>
    <w:p>
      <w:pPr>
        <w:pStyle w:val="Heading1"/>
      </w:pPr>
      <w:bookmarkStart w:name="bab-5" w:id="1"/>
      <w:r>
        <w:rPr>
          <w:rFonts w:ascii="Calibri" w:cs="Calibri" w:eastAsia="Calibri" w:hAnsi="Calibri"/>
        </w:rPr>
        <w:t xml:space="preserve">Transformasi Layanan Primer: Pro-Growth, Pro-Job, Pro-Poor</w:t>
      </w:r>
      <w:bookmarkEnd w:id="1"/>
    </w:p>
    <w:p>
      <w:pPr>
        <w:spacing w:after="160" w:line="352" w:lineRule="auto"/>
      </w:pPr>
      <w:r>
        <w:rPr>
          <w:rFonts w:ascii="Calibri" w:cs="Calibri" w:eastAsia="Calibri" w:hAnsi="Calibri"/>
          <w:color w:val="334155"/>
          <w:sz w:val="21"/>
          <w:szCs w:val="21"/>
        </w:rPr>
        <w:t xml:space="preserve">Bab penutup ini merangkum visi besar penulis tentang arah transformasi layanan kesehatan primer Indonesia menjelang dan sesudah Universal Coverage Asuransi Kesehatan 2014, yang ia rumuskan sebagai layanan yang pro-growth (mendukung pertumbuhan ekonomi), pro-job (membuka lapangan kerja tenaga kesehatan primer), dan pro-poor (berpihak pada masyarakat tidak mampu).</w:t>
      </w:r>
    </w:p>
    <w:p>
      <w:pPr>
        <w:pStyle w:val="Heading2"/>
      </w:pPr>
      <w:r>
        <w:rPr>
          <w:rFonts w:ascii="Calibri" w:cs="Calibri" w:eastAsia="Calibri" w:hAnsi="Calibri"/>
        </w:rPr>
        <w:t xml:space="preserve">Reaktualisasi Profesionalisme Dokter Indonesia</w:t>
      </w:r>
    </w:p>
    <w:p>
      <w:pPr>
        <w:spacing w:after="160" w:line="352" w:lineRule="auto"/>
      </w:pPr>
      <w:r>
        <w:rPr>
          <w:rFonts w:ascii="Calibri" w:cs="Calibri" w:eastAsia="Calibri" w:hAnsi="Calibri"/>
          <w:color w:val="334155"/>
          <w:sz w:val="21"/>
          <w:szCs w:val="21"/>
        </w:rPr>
        <w:t xml:space="preserve">Mengutip semangat Musyawarah Kerja Nasional IDI XIX di Pekanbaru (2011), penulis menegaskan bahwa “reaktualisasi profesionalisme dokter Indonesia menuju pelayanan kesehatan yang berkeadilan” harus menjadi pegangan kebijakan Kementerian Kesehatan, DJSN, dan BPJS. Ia menyoroti bahwa kondisi “chaos” pelayanan kesehatan primer ditandai oleh ketidakmerataan dan ketidakadilan akses layanan antarwilayah dan antarkelas ekonomi masyarakat.</w:t>
      </w:r>
    </w:p>
    <w:p>
      <w:pPr>
        <w:pStyle w:val="Heading2"/>
      </w:pPr>
      <w:r>
        <w:rPr>
          <w:rFonts w:ascii="Calibri" w:cs="Calibri" w:eastAsia="Calibri" w:hAnsi="Calibri"/>
        </w:rPr>
        <w:t xml:space="preserve">Organisasi dan Manajemen Layanan Primer yang Kontekstual</w:t>
      </w:r>
    </w:p>
    <w:p>
      <w:pPr>
        <w:spacing w:after="160" w:line="352" w:lineRule="auto"/>
      </w:pPr>
      <w:r>
        <w:rPr>
          <w:rFonts w:ascii="Calibri" w:cs="Calibri" w:eastAsia="Calibri" w:hAnsi="Calibri"/>
          <w:color w:val="334155"/>
          <w:sz w:val="21"/>
          <w:szCs w:val="21"/>
        </w:rPr>
        <w:t xml:space="preserve">Penulis berpendapat bahwa setiap negara — dan bahkan setiap wilayah di Indonesia — memerlukan model organisasi dan manajemen layanan primer yang disesuaikan dengan kondisi sosial, politik, ekonomi, psikologi, budaya, dan geografis setempat, bukan sekadar mengadopsi satu model nasional secara seragam. Prinsip inilah yang kemudian ia kembangkan lebih lanjut menjadi model manajemen strategik klinik dokter keluarga yang dibahas tuntas pada buku kedua dari seri ini.</w:t>
      </w:r>
    </w:p>
    <w:p>
      <w:pPr>
        <w:spacing w:after="60"/>
      </w:pP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9306"/>
      </w:tblGrid>
      <w:tr>
        <w:trPr>
          <w:cantSplit/>
        </w:trPr>
        <w:tc>
          <w:tcPr>
            <w:tcW w:type="dxa" w:w="9306"/>
            <w:tcBorders>
              <w:top w:val="none" w:color="FFFFFF" w:sz="0"/>
              <w:left w:val="single" w:color="4F46E5" w:sz="28"/>
              <w:bottom w:val="none" w:color="FFFFFF" w:sz="0"/>
              <w:right w:val="none" w:color="FFFFFF" w:sz="0"/>
            </w:tcBorders>
            <w:shd w:fill="EEF2FF" w:color="auto" w:val="clear"/>
            <w:tcMar>
              <w:top w:type="dxa" w:w="200"/>
              <w:left w:type="dxa" w:w="280"/>
              <w:bottom w:type="dxa" w:w="120"/>
              <w:right w:type="dxa" w:w="240"/>
            </w:tcMar>
          </w:tcPr>
          <w:p>
            <w:pPr>
              <w:spacing w:after="40"/>
            </w:pPr>
            <w:r>
              <w:rPr>
                <w:rFonts w:ascii="Calibri" w:cs="Calibri" w:eastAsia="Calibri" w:hAnsi="Calibri"/>
                <w:b/>
                <w:bCs/>
                <w:color w:val="4F46E5"/>
                <w:sz w:val="19"/>
                <w:szCs w:val="19"/>
              </w:rPr>
              <w:t xml:space="preserve">Perspektif Tambahan</w:t>
            </w:r>
          </w:p>
          <w:p>
            <w:pPr>
              <w:spacing w:after="140" w:line="300" w:lineRule="auto"/>
            </w:pPr>
            <w:r>
              <w:rPr>
                <w:rFonts w:ascii="Calibri" w:cs="Calibri" w:eastAsia="Calibri" w:hAnsi="Calibri"/>
                <w:b/>
                <w:bCs/>
                <w:color w:val="0F172A"/>
                <w:sz w:val="24"/>
                <w:szCs w:val="24"/>
              </w:rPr>
              <w:t xml:space="preserve">Keadilan Kesehatan dalam Kerangka Global</w:t>
            </w:r>
          </w:p>
          <w:p>
            <w:pPr>
              <w:spacing w:after="140" w:line="340" w:lineRule="auto"/>
            </w:pPr>
            <w:r>
              <w:rPr>
                <w:rFonts w:ascii="Calibri" w:cs="Calibri" w:eastAsia="Calibri" w:hAnsi="Calibri"/>
                <w:color w:val="1E293B"/>
                <w:sz w:val="20"/>
                <w:szCs w:val="20"/>
              </w:rPr>
              <w:t xml:space="preserve">Konsep keadilan kesehatan (health equity) yang diusung penulis selaras dengan kerangka WHO Commission on Social Determinants of Health (2008) yang menegaskan bahwa ketimpangan kesehatan sebagian besar berakar pada determinan sosial, bukan semata akses layanan klinis. Agenda pro-poor yang disebut penulis juga relevan dengan prinsip cakupan kesehatan semesta (universal health coverage) yang menjadi target ketiga Sustainable Development Goals (SDG 3.8), yakni akses layanan kesehatan esensial bagi seluruh penduduk tanpa menimbulkan kesulitan finansial (financial hardship).</w:t>
            </w:r>
          </w:p>
        </w:tc>
      </w:tr>
    </w:tbl>
    <w:p>
      <w:pPr>
        <w:spacing w:after="160"/>
      </w:pPr>
    </w:p>
    <w:p>
      <w:pPr>
        <w:pStyle w:val="Heading1"/>
        <w:pageBreakBefore/>
      </w:pPr>
      <w:bookmarkStart w:name="rangkuman" w:id="1"/>
      <w:r>
        <w:rPr>
          <w:rFonts w:ascii="Calibri" w:cs="Calibri" w:eastAsia="Calibri" w:hAnsi="Calibri"/>
        </w:rPr>
        <w:t xml:space="preserve">Rangkuman &amp; Penutup</w:t>
      </w:r>
      <w:bookmarkEnd w:id="1"/>
    </w:p>
    <w:p>
      <w:pPr>
        <w:spacing w:after="160" w:line="352" w:lineRule="auto"/>
      </w:pPr>
      <w:r>
        <w:rPr>
          <w:rFonts w:ascii="Calibri" w:cs="Calibri" w:eastAsia="Calibri" w:hAnsi="Calibri"/>
          <w:color w:val="334155"/>
          <w:sz w:val="21"/>
          <w:szCs w:val="21"/>
        </w:rPr>
        <w:t xml:space="preserve">Membaca ulang seluruh naskah Dr.dr. Jack Roebijoso yang menjadi dasar buku ini, tergambar benang merah yang konsisten: keprihatinan mendalam terhadap layanan kesehatan primer Indonesia yang terjebak antara komersialisasi liberalistik dan pengendalian biaya sosialistik yang keduanya berisiko mengorbankan kualitas dan empati terhadap pasien. Solusi yang ia tawarkan bukan resep tunggal, melainkan sebuah cara pandang: kedokteran keluarga sebagai disiplin holistik yang menggabungkan kompetensi klinis, manajemen strategik organisasi, dan keberpihakan pada keadilan sosial.</w:t>
      </w:r>
    </w:p>
    <w:p>
      <w:pPr>
        <w:spacing w:after="160" w:line="352" w:lineRule="auto"/>
      </w:pPr>
      <w:r>
        <w:rPr>
          <w:rFonts w:ascii="Calibri" w:cs="Calibri" w:eastAsia="Calibri" w:hAnsi="Calibri"/>
          <w:color w:val="334155"/>
          <w:sz w:val="21"/>
          <w:szCs w:val="21"/>
        </w:rPr>
        <w:t xml:space="preserve">Sebagai editor, saya percaya nilai terbesar dari kumpulan pemikiran ini bukan pada kesempurnaan setiap argumennya — beberapa istilah dan klaim tentu dapat diperdebatkan secara ilmiah — melainkan pada konsistensi dan keberanian penulis mempertanyakan status quo selama lebih dari tiga puluh tahun berpraktik. Semoga buku ini menjadi titik awal diskusi yang lebih luas, bukan titik akhir sebuah kesimpulan.</w:t>
      </w:r>
    </w:p>
    <w:p>
      <w:pPr>
        <w:pStyle w:val="Heading1"/>
        <w:pageBreakBefore/>
      </w:pPr>
      <w:bookmarkStart w:name="daftar-pustaka" w:id="1"/>
      <w:r>
        <w:rPr>
          <w:rFonts w:ascii="Calibri" w:cs="Calibri" w:eastAsia="Calibri" w:hAnsi="Calibri"/>
        </w:rPr>
        <w:t xml:space="preserve">Daftar Pustaka</w:t>
      </w:r>
      <w:bookmarkEnd w:id="1"/>
    </w:p>
    <w:p>
      <w:pPr>
        <w:pBdr>
          <w:bottom w:val="single" w:color="E2E8F0" w:sz="4" w:space="8"/>
        </w:pBdr>
        <w:spacing w:after="140" w:line="310" w:lineRule="auto"/>
        <w:ind w:left="360" w:hanging="360"/>
      </w:pPr>
      <w:r>
        <w:rPr>
          <w:rFonts w:ascii="Calibri" w:cs="Calibri" w:eastAsia="Calibri" w:hAnsi="Calibri"/>
          <w:color w:val="334155"/>
          <w:sz w:val="20"/>
          <w:szCs w:val="20"/>
        </w:rPr>
        <w:t xml:space="preserve">Roebijoso, J. Materi Dokter Keluarga Indonesia, Kompetensi Dokkel PPSDM, Transformasi Pelayanan Kesehatan Primer, dan naskah terkait (koleksi pribadi, tidak dipublikasikan).</w:t>
      </w:r>
    </w:p>
    <w:p>
      <w:pPr>
        <w:pBdr>
          <w:bottom w:val="single" w:color="E2E8F0" w:sz="4" w:space="8"/>
        </w:pBdr>
        <w:spacing w:after="140" w:line="310" w:lineRule="auto"/>
        <w:ind w:left="360" w:hanging="360"/>
      </w:pPr>
      <w:r>
        <w:rPr>
          <w:rFonts w:ascii="Calibri" w:cs="Calibri" w:eastAsia="Calibri" w:hAnsi="Calibri"/>
          <w:color w:val="334155"/>
          <w:sz w:val="20"/>
          <w:szCs w:val="20"/>
        </w:rPr>
        <w:t xml:space="preserve">World Health Organization &amp; UNICEF. Declaration of Alma-Ata, International Conference on Primary Health Care, 1978.</w:t>
      </w:r>
      <w:r>
        <w:rPr>
          <w:rFonts w:ascii="Calibri" w:cs="Calibri" w:eastAsia="Calibri" w:hAnsi="Calibri"/>
          <w:sz w:val="20"/>
          <w:szCs w:val="20"/>
        </w:rPr>
        <w:t xml:space="preserve"> </w:t>
      </w:r>
      <w:hyperlink w:history="1" r:id="rId8bmj4_yxphp07pnpt731y">
        <w:r>
          <w:rPr>
            <w:rFonts w:ascii="Calibri" w:cs="Calibri" w:eastAsia="Calibri" w:hAnsi="Calibri"/>
            <w:color w:val="4F46E5"/>
            <w:sz w:val="18"/>
            <w:szCs w:val="18"/>
            <w:u w:val="single"/>
          </w:rPr>
          <w:t xml:space="preserve">https://www.who.int/publications-detail-redirect/declaration-of-alma-ata</w:t>
        </w:r>
      </w:hyperlink>
    </w:p>
    <w:p>
      <w:pPr>
        <w:pBdr>
          <w:bottom w:val="single" w:color="E2E8F0" w:sz="4" w:space="8"/>
        </w:pBdr>
        <w:spacing w:after="140" w:line="310" w:lineRule="auto"/>
        <w:ind w:left="360" w:hanging="360"/>
      </w:pPr>
      <w:r>
        <w:rPr>
          <w:rFonts w:ascii="Calibri" w:cs="Calibri" w:eastAsia="Calibri" w:hAnsi="Calibri"/>
          <w:color w:val="334155"/>
          <w:sz w:val="20"/>
          <w:szCs w:val="20"/>
        </w:rPr>
        <w:t xml:space="preserve">World Health Organization &amp; UNICEF. Declaration of Astana, Global Conference on Primary Health Care, 2018.</w:t>
      </w:r>
      <w:r>
        <w:rPr>
          <w:rFonts w:ascii="Calibri" w:cs="Calibri" w:eastAsia="Calibri" w:hAnsi="Calibri"/>
          <w:sz w:val="20"/>
          <w:szCs w:val="20"/>
        </w:rPr>
        <w:t xml:space="preserve"> </w:t>
      </w:r>
      <w:hyperlink w:history="1" r:id="rIdf-awhvm_8shb7gvcqfq1i">
        <w:r>
          <w:rPr>
            <w:rFonts w:ascii="Calibri" w:cs="Calibri" w:eastAsia="Calibri" w:hAnsi="Calibri"/>
            <w:color w:val="4F46E5"/>
            <w:sz w:val="18"/>
            <w:szCs w:val="18"/>
            <w:u w:val="single"/>
          </w:rPr>
          <w:t xml:space="preserve">https://www.who.int/publications/i/item/WHO-HIS-SDS-2018.61</w:t>
        </w:r>
      </w:hyperlink>
    </w:p>
    <w:p>
      <w:pPr>
        <w:pBdr>
          <w:bottom w:val="single" w:color="E2E8F0" w:sz="4" w:space="8"/>
        </w:pBdr>
        <w:spacing w:after="140" w:line="310" w:lineRule="auto"/>
        <w:ind w:left="360" w:hanging="360"/>
      </w:pPr>
      <w:r>
        <w:rPr>
          <w:rFonts w:ascii="Calibri" w:cs="Calibri" w:eastAsia="Calibri" w:hAnsi="Calibri"/>
          <w:color w:val="334155"/>
          <w:sz w:val="20"/>
          <w:szCs w:val="20"/>
        </w:rPr>
        <w:t xml:space="preserve">Starfield, B., Shi, L., Macinko, J. Contribution of Primary Care to Health Systems and Health. The Milbank Quarterly, 2005.</w:t>
      </w:r>
      <w:r>
        <w:rPr>
          <w:rFonts w:ascii="Calibri" w:cs="Calibri" w:eastAsia="Calibri" w:hAnsi="Calibri"/>
          <w:sz w:val="20"/>
          <w:szCs w:val="20"/>
        </w:rPr>
        <w:t xml:space="preserve"> </w:t>
      </w:r>
      <w:hyperlink w:history="1" r:id="rId42b-gbi5sflgfw7otlk5w">
        <w:r>
          <w:rPr>
            <w:rFonts w:ascii="Calibri" w:cs="Calibri" w:eastAsia="Calibri" w:hAnsi="Calibri"/>
            <w:color w:val="4F46E5"/>
            <w:sz w:val="18"/>
            <w:szCs w:val="18"/>
            <w:u w:val="single"/>
          </w:rPr>
          <w:t xml:space="preserve">https://pmc.ncbi.nlm.nih.gov/articles/PMC2690145/</w:t>
        </w:r>
      </w:hyperlink>
    </w:p>
    <w:p>
      <w:pPr>
        <w:pBdr>
          <w:bottom w:val="single" w:color="E2E8F0" w:sz="4" w:space="8"/>
        </w:pBdr>
        <w:spacing w:after="140" w:line="310" w:lineRule="auto"/>
        <w:ind w:left="360" w:hanging="360"/>
      </w:pPr>
      <w:r>
        <w:rPr>
          <w:rFonts w:ascii="Calibri" w:cs="Calibri" w:eastAsia="Calibri" w:hAnsi="Calibri"/>
          <w:color w:val="334155"/>
          <w:sz w:val="20"/>
          <w:szCs w:val="20"/>
        </w:rPr>
        <w:t xml:space="preserve">Direktorat Jenderal Kesehatan Primer dan Komunitas, Kementerian Kesehatan RI. 6 Pilar Transformasi Kesehatan.</w:t>
      </w:r>
      <w:r>
        <w:rPr>
          <w:rFonts w:ascii="Calibri" w:cs="Calibri" w:eastAsia="Calibri" w:hAnsi="Calibri"/>
          <w:sz w:val="20"/>
          <w:szCs w:val="20"/>
        </w:rPr>
        <w:t xml:space="preserve"> </w:t>
      </w:r>
      <w:hyperlink w:history="1" r:id="rIdowwhsdle1kysta7soyr40">
        <w:r>
          <w:rPr>
            <w:rFonts w:ascii="Calibri" w:cs="Calibri" w:eastAsia="Calibri" w:hAnsi="Calibri"/>
            <w:color w:val="4F46E5"/>
            <w:sz w:val="18"/>
            <w:szCs w:val="18"/>
            <w:u w:val="single"/>
          </w:rPr>
          <w:t xml:space="preserve">https://kesprimkom.kemkes.go.id/konten/158/154/0/6-pilar-transformasi-kesehatan</w:t>
        </w:r>
      </w:hyperlink>
    </w:p>
    <w:p>
      <w:pPr>
        <w:pBdr>
          <w:bottom w:val="single" w:color="E2E8F0" w:sz="4" w:space="8"/>
        </w:pBdr>
        <w:spacing w:after="140" w:line="310" w:lineRule="auto"/>
        <w:ind w:left="360" w:hanging="360"/>
      </w:pPr>
      <w:r>
        <w:rPr>
          <w:rFonts w:ascii="Calibri" w:cs="Calibri" w:eastAsia="Calibri" w:hAnsi="Calibri"/>
          <w:color w:val="334155"/>
          <w:sz w:val="20"/>
          <w:szCs w:val="20"/>
        </w:rPr>
        <w:t xml:space="preserve">Sackett, D.L., Rosenberg, W.M.C., Gray, J.A.M., Haynes, R.B., Richardson, W.S. Evidence based medicine: what it is and what it isn't. BMJ, 312:71-72, 1996.</w:t>
      </w:r>
      <w:r>
        <w:rPr>
          <w:rFonts w:ascii="Calibri" w:cs="Calibri" w:eastAsia="Calibri" w:hAnsi="Calibri"/>
          <w:sz w:val="20"/>
          <w:szCs w:val="20"/>
        </w:rPr>
        <w:t xml:space="preserve"> </w:t>
      </w:r>
      <w:hyperlink w:history="1" r:id="rIdluneoijpjcsdev3fn-7eu">
        <w:r>
          <w:rPr>
            <w:rFonts w:ascii="Calibri" w:cs="Calibri" w:eastAsia="Calibri" w:hAnsi="Calibri"/>
            <w:color w:val="4F46E5"/>
            <w:sz w:val="18"/>
            <w:szCs w:val="18"/>
            <w:u w:val="single"/>
          </w:rPr>
          <w:t xml:space="preserve">https://doi.org/10.1136/bmj.312.7023.71</w:t>
        </w:r>
      </w:hyperlink>
    </w:p>
    <w:p>
      <w:pPr>
        <w:pBdr>
          <w:bottom w:val="single" w:color="E2E8F0" w:sz="4" w:space="8"/>
        </w:pBdr>
        <w:spacing w:after="140" w:line="310" w:lineRule="auto"/>
        <w:ind w:left="360" w:hanging="360"/>
      </w:pPr>
      <w:r>
        <w:rPr>
          <w:rFonts w:ascii="Calibri" w:cs="Calibri" w:eastAsia="Calibri" w:hAnsi="Calibri"/>
          <w:color w:val="334155"/>
          <w:sz w:val="20"/>
          <w:szCs w:val="20"/>
        </w:rPr>
        <w:t xml:space="preserve">Illich, I. Medical Nemesis: The Expropriation of Health. Pantheon Books, 1976.</w:t>
      </w:r>
    </w:p>
    <w:p>
      <w:pPr>
        <w:pBdr>
          <w:bottom w:val="single" w:color="E2E8F0" w:sz="4" w:space="8"/>
        </w:pBdr>
        <w:spacing w:after="140" w:line="310" w:lineRule="auto"/>
        <w:ind w:left="360" w:hanging="360"/>
      </w:pPr>
      <w:r>
        <w:rPr>
          <w:rFonts w:ascii="Calibri" w:cs="Calibri" w:eastAsia="Calibri" w:hAnsi="Calibri"/>
          <w:color w:val="334155"/>
          <w:sz w:val="20"/>
          <w:szCs w:val="20"/>
        </w:rPr>
        <w:t xml:space="preserve">Eisenberg, L. The physician as interpreter: ascribing meaning to the illness experience. Comprehensive Psychiatry, 1981.</w:t>
      </w:r>
    </w:p>
    <w:p>
      <w:pPr>
        <w:pBdr>
          <w:bottom w:val="single" w:color="E2E8F0" w:sz="4" w:space="8"/>
        </w:pBdr>
        <w:spacing w:after="140" w:line="310" w:lineRule="auto"/>
        <w:ind w:left="360" w:hanging="360"/>
      </w:pPr>
      <w:r>
        <w:rPr>
          <w:rFonts w:ascii="Calibri" w:cs="Calibri" w:eastAsia="Calibri" w:hAnsi="Calibri"/>
          <w:color w:val="334155"/>
          <w:sz w:val="20"/>
          <w:szCs w:val="20"/>
        </w:rPr>
        <w:t xml:space="preserve">American College of Lifestyle Medicine. What is Lifestyle Medicine?</w:t>
      </w:r>
      <w:r>
        <w:rPr>
          <w:rFonts w:ascii="Calibri" w:cs="Calibri" w:eastAsia="Calibri" w:hAnsi="Calibri"/>
          <w:sz w:val="20"/>
          <w:szCs w:val="20"/>
        </w:rPr>
        <w:t xml:space="preserve"> </w:t>
      </w:r>
      <w:hyperlink w:history="1" r:id="rIdgdw3dif7gdku9cugpnwd8">
        <w:r>
          <w:rPr>
            <w:rFonts w:ascii="Calibri" w:cs="Calibri" w:eastAsia="Calibri" w:hAnsi="Calibri"/>
            <w:color w:val="4F46E5"/>
            <w:sz w:val="18"/>
            <w:szCs w:val="18"/>
            <w:u w:val="single"/>
          </w:rPr>
          <w:t xml:space="preserve">https://lifestylemedicine.org/about-lifestyle-medicine/</w:t>
        </w:r>
      </w:hyperlink>
    </w:p>
    <w:p>
      <w:pPr>
        <w:pBdr>
          <w:bottom w:val="single" w:color="E2E8F0" w:sz="4" w:space="8"/>
        </w:pBdr>
        <w:spacing w:after="140" w:line="310" w:lineRule="auto"/>
        <w:ind w:left="360" w:hanging="360"/>
      </w:pPr>
      <w:r>
        <w:rPr>
          <w:rFonts w:ascii="Calibri" w:cs="Calibri" w:eastAsia="Calibri" w:hAnsi="Calibri"/>
          <w:color w:val="334155"/>
          <w:sz w:val="20"/>
          <w:szCs w:val="20"/>
        </w:rPr>
        <w:t xml:space="preserve">Whelton, P.K. et al. 2017 ACC/AHA/AAPA/ABC/ACPM/AGS/APhA/ASH/ASPC/NMA/PCNA Guideline for High Blood Pressure in Adults. Hypertension, 71(6), 2018.</w:t>
      </w:r>
      <w:r>
        <w:rPr>
          <w:rFonts w:ascii="Calibri" w:cs="Calibri" w:eastAsia="Calibri" w:hAnsi="Calibri"/>
          <w:sz w:val="20"/>
          <w:szCs w:val="20"/>
        </w:rPr>
        <w:t xml:space="preserve"> </w:t>
      </w:r>
      <w:hyperlink w:history="1" r:id="rIdg9uley6jllmspjjqtdjzp">
        <w:r>
          <w:rPr>
            <w:rFonts w:ascii="Calibri" w:cs="Calibri" w:eastAsia="Calibri" w:hAnsi="Calibri"/>
            <w:color w:val="4F46E5"/>
            <w:sz w:val="18"/>
            <w:szCs w:val="18"/>
            <w:u w:val="single"/>
          </w:rPr>
          <w:t xml:space="preserve">https://www.ahajournals.org/doi/10.1161/hyp.0000000000000065</w:t>
        </w:r>
      </w:hyperlink>
    </w:p>
    <w:p>
      <w:pPr>
        <w:pBdr>
          <w:bottom w:val="single" w:color="E2E8F0" w:sz="4" w:space="8"/>
        </w:pBdr>
        <w:spacing w:after="140" w:line="310" w:lineRule="auto"/>
        <w:ind w:left="360" w:hanging="360"/>
      </w:pPr>
      <w:r>
        <w:rPr>
          <w:rFonts w:ascii="Calibri" w:cs="Calibri" w:eastAsia="Calibri" w:hAnsi="Calibri"/>
          <w:color w:val="334155"/>
          <w:sz w:val="20"/>
          <w:szCs w:val="20"/>
        </w:rPr>
        <w:t xml:space="preserve">Koenig, H.G. Religion, Spirituality, and Health: The Research and Clinical Implications. ISRN Psychiatry, 2012.</w:t>
      </w:r>
      <w:r>
        <w:rPr>
          <w:rFonts w:ascii="Calibri" w:cs="Calibri" w:eastAsia="Calibri" w:hAnsi="Calibri"/>
          <w:sz w:val="20"/>
          <w:szCs w:val="20"/>
        </w:rPr>
        <w:t xml:space="preserve"> </w:t>
      </w:r>
      <w:hyperlink w:history="1" r:id="rIda8jaklnjhg75nwnhc-rfl">
        <w:r>
          <w:rPr>
            <w:rFonts w:ascii="Calibri" w:cs="Calibri" w:eastAsia="Calibri" w:hAnsi="Calibri"/>
            <w:color w:val="4F46E5"/>
            <w:sz w:val="18"/>
            <w:szCs w:val="18"/>
            <w:u w:val="single"/>
          </w:rPr>
          <w:t xml:space="preserve">https://pmc.ncbi.nlm.nih.gov/articles/PMC3671693/</w:t>
        </w:r>
      </w:hyperlink>
    </w:p>
    <w:p>
      <w:pPr>
        <w:pBdr>
          <w:bottom w:val="single" w:color="E2E8F0" w:sz="4" w:space="8"/>
        </w:pBdr>
        <w:spacing w:after="140" w:line="310" w:lineRule="auto"/>
        <w:ind w:left="360" w:hanging="360"/>
      </w:pPr>
      <w:r>
        <w:rPr>
          <w:rFonts w:ascii="Calibri" w:cs="Calibri" w:eastAsia="Calibri" w:hAnsi="Calibri"/>
          <w:color w:val="334155"/>
          <w:sz w:val="20"/>
          <w:szCs w:val="20"/>
        </w:rPr>
        <w:t xml:space="preserve">World Health Organization. Closing the Gap in a Generation: Health Equity through Action on the Social Determinants of Health. Commission on Social Determinants of Health, 2008.</w:t>
      </w:r>
      <w:r>
        <w:rPr>
          <w:rFonts w:ascii="Calibri" w:cs="Calibri" w:eastAsia="Calibri" w:hAnsi="Calibri"/>
          <w:sz w:val="20"/>
          <w:szCs w:val="20"/>
        </w:rPr>
        <w:t xml:space="preserve"> </w:t>
      </w:r>
      <w:hyperlink w:history="1" r:id="rIda-ffj3pvvy1y4u-p6vymr">
        <w:r>
          <w:rPr>
            <w:rFonts w:ascii="Calibri" w:cs="Calibri" w:eastAsia="Calibri" w:hAnsi="Calibri"/>
            <w:color w:val="4F46E5"/>
            <w:sz w:val="18"/>
            <w:szCs w:val="18"/>
            <w:u w:val="single"/>
          </w:rPr>
          <w:t xml:space="preserve">https://www.who.int/publications/i/item/WHO-IER-CSDH-08.1</w:t>
        </w:r>
      </w:hyperlink>
    </w:p>
    <w:p>
      <w:pPr>
        <w:pBdr>
          <w:bottom w:val="single" w:color="E2E8F0" w:sz="4" w:space="8"/>
        </w:pBdr>
        <w:spacing w:after="140" w:line="310" w:lineRule="auto"/>
        <w:ind w:left="360" w:hanging="360"/>
      </w:pPr>
      <w:r>
        <w:rPr>
          <w:rFonts w:ascii="Calibri" w:cs="Calibri" w:eastAsia="Calibri" w:hAnsi="Calibri"/>
          <w:color w:val="334155"/>
          <w:sz w:val="20"/>
          <w:szCs w:val="20"/>
        </w:rPr>
        <w:t xml:space="preserve">Republik Indonesia. Undang-Undang Nomor 17 Tahun 2023 tentang Kesehatan.</w:t>
      </w:r>
      <w:r>
        <w:rPr>
          <w:rFonts w:ascii="Calibri" w:cs="Calibri" w:eastAsia="Calibri" w:hAnsi="Calibri"/>
          <w:sz w:val="20"/>
          <w:szCs w:val="20"/>
        </w:rPr>
        <w:t xml:space="preserve"> </w:t>
      </w:r>
      <w:hyperlink w:history="1" r:id="rIdzaziud4csmuixyipm3bao">
        <w:r>
          <w:rPr>
            <w:rFonts w:ascii="Calibri" w:cs="Calibri" w:eastAsia="Calibri" w:hAnsi="Calibri"/>
            <w:color w:val="4F46E5"/>
            <w:sz w:val="18"/>
            <w:szCs w:val="18"/>
            <w:u w:val="single"/>
          </w:rPr>
          <w:t xml:space="preserve">https://peraturan.bpk.go.id/details/258028/uu-no-17-tahun-2023</w:t>
        </w:r>
      </w:hyperlink>
    </w:p>
    <w:p>
      <w:pPr>
        <w:pBdr>
          <w:bottom w:val="single" w:color="E2E8F0" w:sz="4" w:space="8"/>
        </w:pBdr>
        <w:spacing w:after="140" w:line="310" w:lineRule="auto"/>
        <w:ind w:left="360" w:hanging="360"/>
      </w:pPr>
      <w:r>
        <w:rPr>
          <w:rFonts w:ascii="Calibri" w:cs="Calibri" w:eastAsia="Calibri" w:hAnsi="Calibri"/>
          <w:color w:val="334155"/>
          <w:sz w:val="20"/>
          <w:szCs w:val="20"/>
        </w:rPr>
        <w:t xml:space="preserve">Republik Indonesia. Undang-Undang Nomor 29 Tahun 2004 tentang Praktik Kedokteran.</w:t>
      </w:r>
      <w:r>
        <w:rPr>
          <w:rFonts w:ascii="Calibri" w:cs="Calibri" w:eastAsia="Calibri" w:hAnsi="Calibri"/>
          <w:sz w:val="20"/>
          <w:szCs w:val="20"/>
        </w:rPr>
        <w:t xml:space="preserve"> </w:t>
      </w:r>
      <w:hyperlink w:history="1" r:id="rIdwycbazqfgh2dddn8b9x8k">
        <w:r>
          <w:rPr>
            <w:rFonts w:ascii="Calibri" w:cs="Calibri" w:eastAsia="Calibri" w:hAnsi="Calibri"/>
            <w:color w:val="4F46E5"/>
            <w:sz w:val="18"/>
            <w:szCs w:val="18"/>
            <w:u w:val="single"/>
          </w:rPr>
          <w:t xml:space="preserve">https://peraturan.bpk.go.id/Details/40752/uu-no-29-tahun-2004</w:t>
        </w:r>
      </w:hyperlink>
    </w:p>
    <w:p>
      <w:pPr>
        <w:pBdr>
          <w:bottom w:val="single" w:color="E2E8F0" w:sz="4" w:space="8"/>
        </w:pBdr>
        <w:spacing w:after="140" w:line="310" w:lineRule="auto"/>
        <w:ind w:left="360" w:hanging="360"/>
      </w:pPr>
      <w:r>
        <w:rPr>
          <w:rFonts w:ascii="Calibri" w:cs="Calibri" w:eastAsia="Calibri" w:hAnsi="Calibri"/>
          <w:color w:val="334155"/>
          <w:sz w:val="20"/>
          <w:szCs w:val="20"/>
        </w:rPr>
        <w:t xml:space="preserve">United Nations. Sustainable Development Goal 3: Ensure healthy lives and promote well-being.</w:t>
      </w:r>
      <w:r>
        <w:rPr>
          <w:rFonts w:ascii="Calibri" w:cs="Calibri" w:eastAsia="Calibri" w:hAnsi="Calibri"/>
          <w:sz w:val="20"/>
          <w:szCs w:val="20"/>
        </w:rPr>
        <w:t xml:space="preserve"> </w:t>
      </w:r>
      <w:hyperlink w:history="1" r:id="rIdtquqwix6zwgak5xe-dhuw">
        <w:r>
          <w:rPr>
            <w:rFonts w:ascii="Calibri" w:cs="Calibri" w:eastAsia="Calibri" w:hAnsi="Calibri"/>
            <w:color w:val="4F46E5"/>
            <w:sz w:val="18"/>
            <w:szCs w:val="18"/>
            <w:u w:val="single"/>
          </w:rPr>
          <w:t xml:space="preserve">https://sdgs.un.org/goals/goal3</w:t>
        </w:r>
      </w:hyperlink>
    </w:p>
    <w:p>
      <w:pPr>
        <w:pStyle w:val="Heading1"/>
        <w:pageBreakBefore/>
      </w:pPr>
      <w:bookmarkStart w:name="glosarium" w:id="1"/>
      <w:r>
        <w:rPr>
          <w:rFonts w:ascii="Calibri" w:cs="Calibri" w:eastAsia="Calibri" w:hAnsi="Calibri"/>
        </w:rPr>
        <w:t xml:space="preserve">Glosarium</w:t>
      </w:r>
      <w:bookmarkEnd w:id="1"/>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792"/>
        <w:gridCol w:w="6514"/>
      </w:tblGrid>
      <w:tr>
        <w:trPr>
          <w:tblHeader/>
        </w:trPr>
        <w:tc>
          <w:tcPr>
            <w:tcW w:type="dxa" w:w="2792"/>
            <w:tcBorders>
              <w:top w:val="none" w:color="FFFFFF" w:sz="0"/>
              <w:left w:val="none" w:color="FFFFFF" w:sz="0"/>
              <w:bottom w:val="none" w:color="FFFFFF" w:sz="0"/>
              <w:right w:val="none" w:color="FFFFFF" w:sz="0"/>
            </w:tcBorders>
            <w:shd w:fill="0F172A" w:color="auto" w:val="clear"/>
            <w:tcMar>
              <w:top w:type="dxa" w:w="110"/>
              <w:left w:type="dxa" w:w="140"/>
              <w:bottom w:type="dxa" w:w="110"/>
              <w:right w:type="dxa" w:w="140"/>
            </w:tcMar>
            <w:vAlign w:val="center"/>
          </w:tcPr>
          <w:p>
            <w:r>
              <w:rPr>
                <w:rFonts w:ascii="Calibri" w:cs="Calibri" w:eastAsia="Calibri" w:hAnsi="Calibri"/>
                <w:b/>
                <w:bCs/>
                <w:color w:val="FFFFFF"/>
                <w:sz w:val="19"/>
                <w:szCs w:val="19"/>
              </w:rPr>
              <w:t xml:space="preserve">Istilah</w:t>
            </w:r>
          </w:p>
        </w:tc>
        <w:tc>
          <w:tcPr>
            <w:tcW w:type="dxa" w:w="6514"/>
            <w:tcBorders>
              <w:top w:val="none" w:color="FFFFFF" w:sz="0"/>
              <w:left w:val="none" w:color="FFFFFF" w:sz="0"/>
              <w:bottom w:val="none" w:color="FFFFFF" w:sz="0"/>
              <w:right w:val="none" w:color="FFFFFF" w:sz="0"/>
            </w:tcBorders>
            <w:shd w:fill="0F172A" w:color="auto" w:val="clear"/>
            <w:tcMar>
              <w:top w:type="dxa" w:w="110"/>
              <w:left w:type="dxa" w:w="140"/>
              <w:bottom w:type="dxa" w:w="110"/>
              <w:right w:type="dxa" w:w="140"/>
            </w:tcMar>
            <w:vAlign w:val="center"/>
          </w:tcPr>
          <w:p>
            <w:r>
              <w:rPr>
                <w:rFonts w:ascii="Calibri" w:cs="Calibri" w:eastAsia="Calibri" w:hAnsi="Calibri"/>
                <w:b/>
                <w:bCs/>
                <w:color w:val="FFFFFF"/>
                <w:sz w:val="19"/>
                <w:szCs w:val="19"/>
              </w:rPr>
              <w:t xml:space="preserve">Penjelasan</w:t>
            </w:r>
          </w:p>
        </w:tc>
      </w:tr>
      <w:tr>
        <w:trPr>
          <w:cantSplit/>
        </w:trPr>
        <w:tc>
          <w:tcPr>
            <w:tcW w:type="dxa" w:w="2792"/>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Dokter Keluarga / DLP</w:t>
            </w:r>
          </w:p>
        </w:tc>
        <w:tc>
          <w:tcPr>
            <w:tcW w:type="dxa" w:w="6514"/>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Dokter Layanan Primer; dokter yang memberikan pelayanan kesehatan komprehensif, berkelanjutan, dan terkoordinasi bagi individu dan keluarga di tingkat layanan primer.</w:t>
            </w:r>
          </w:p>
        </w:tc>
      </w:tr>
      <w:tr>
        <w:trPr>
          <w:cantSplit/>
        </w:trPr>
        <w:tc>
          <w:tcPr>
            <w:tcW w:type="dxa" w:w="2792"/>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FKTP</w:t>
            </w:r>
          </w:p>
        </w:tc>
        <w:tc>
          <w:tcPr>
            <w:tcW w:type="dxa" w:w="6514"/>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Fasilitas Kesehatan Tingkat Pertama, contohnya Puskesmas, klinik pratama, dan praktik dokter/dokter gigi mandiri.</w:t>
            </w:r>
          </w:p>
        </w:tc>
      </w:tr>
      <w:tr>
        <w:trPr>
          <w:cantSplit/>
        </w:trPr>
        <w:tc>
          <w:tcPr>
            <w:tcW w:type="dxa" w:w="2792"/>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FKTL / FKRTL</w:t>
            </w:r>
          </w:p>
        </w:tc>
        <w:tc>
          <w:tcPr>
            <w:tcW w:type="dxa" w:w="6514"/>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Fasilitas Kesehatan Rujukan Tingkat Lanjut, misalnya rumah sakit.</w:t>
            </w:r>
          </w:p>
        </w:tc>
      </w:tr>
      <w:tr>
        <w:trPr>
          <w:cantSplit/>
        </w:trPr>
        <w:tc>
          <w:tcPr>
            <w:tcW w:type="dxa" w:w="2792"/>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Gate Keeper</w:t>
            </w:r>
          </w:p>
        </w:tc>
        <w:tc>
          <w:tcPr>
            <w:tcW w:type="dxa" w:w="6514"/>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Fungsi FKTP sebagai penapis pertama yang menentukan perlu-tidaknya rujukan pasien ke layanan tingkat lanjut.</w:t>
            </w:r>
          </w:p>
        </w:tc>
      </w:tr>
      <w:tr>
        <w:trPr>
          <w:cantSplit/>
        </w:trPr>
        <w:tc>
          <w:tcPr>
            <w:tcW w:type="dxa" w:w="2792"/>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BPJS Kesehatan</w:t>
            </w:r>
          </w:p>
        </w:tc>
        <w:tc>
          <w:tcPr>
            <w:tcW w:type="dxa" w:w="6514"/>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Badan Penyelenggara Jaminan Sosial Kesehatan, penyelenggara Jaminan Kesehatan Nasional (JKN) di Indonesia sejak 2014.</w:t>
            </w:r>
          </w:p>
        </w:tc>
      </w:tr>
      <w:tr>
        <w:trPr>
          <w:cantSplit/>
        </w:trPr>
        <w:tc>
          <w:tcPr>
            <w:tcW w:type="dxa" w:w="2792"/>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KBK (Kapitasi Berbasis Kinerja)</w:t>
            </w:r>
          </w:p>
        </w:tc>
        <w:tc>
          <w:tcPr>
            <w:tcW w:type="dxa" w:w="6514"/>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Sistem pembayaran kapitasi ke FKTP yang disesuaikan capaian indikator kinerja pelayanan tertentu.</w:t>
            </w:r>
          </w:p>
        </w:tc>
      </w:tr>
      <w:tr>
        <w:trPr>
          <w:cantSplit/>
        </w:trPr>
        <w:tc>
          <w:tcPr>
            <w:tcW w:type="dxa" w:w="2792"/>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Holistic Evidence Base Medicine</w:t>
            </w:r>
          </w:p>
        </w:tc>
        <w:tc>
          <w:tcPr>
            <w:tcW w:type="dxa" w:w="6514"/>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Istilah yang digunakan penulis untuk pendekatan kedokteran berbasis bukti yang mempertimbangkan faktor etno-sosio-psiko-spiritual, bukan hanya biomedis.</w:t>
            </w:r>
          </w:p>
        </w:tc>
      </w:tr>
      <w:tr>
        <w:trPr>
          <w:cantSplit/>
        </w:trPr>
        <w:tc>
          <w:tcPr>
            <w:tcW w:type="dxa" w:w="2792"/>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Medical Imperialism (Penjajahan Medis)</w:t>
            </w:r>
          </w:p>
        </w:tc>
        <w:tc>
          <w:tcPr>
            <w:tcW w:type="dxa" w:w="6514"/>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Istilah sosiologi kesehatan (Leon Eisenberg) untuk dominasi cara pandang medis kuratif Barat terhadap praktik kedokteran di negara lain.</w:t>
            </w:r>
          </w:p>
        </w:tc>
      </w:tr>
      <w:tr>
        <w:trPr>
          <w:cantSplit/>
        </w:trPr>
        <w:tc>
          <w:tcPr>
            <w:tcW w:type="dxa" w:w="2792"/>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Lifestyle Medicine</w:t>
            </w:r>
          </w:p>
        </w:tc>
        <w:tc>
          <w:tcPr>
            <w:tcW w:type="dxa" w:w="6514"/>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Cabang ilmu kedokteran yang menggunakan intervensi gaya hidup (nutrisi, aktivitas fisik, tidur, manajemen stres, dukungan sosial, hindari zat adiktif) sebagai lini utama pencegahan/terapi penyakit kronis.</w:t>
            </w:r>
          </w:p>
        </w:tc>
      </w:tr>
      <w:tr>
        <w:trPr>
          <w:cantSplit/>
        </w:trPr>
        <w:tc>
          <w:tcPr>
            <w:tcW w:type="dxa" w:w="2792"/>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UKP / UKM</w:t>
            </w:r>
          </w:p>
        </w:tc>
        <w:tc>
          <w:tcPr>
            <w:tcW w:type="dxa" w:w="6514"/>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Upaya Kesehatan Perorangan dan Upaya Kesehatan Masyarakat, dua pilar pelayanan kesehatan yang perlu diintegrasikan di tingkat wilayah kerja.</w:t>
            </w:r>
          </w:p>
        </w:tc>
      </w:tr>
      <w:tr>
        <w:trPr>
          <w:cantSplit/>
        </w:trPr>
        <w:tc>
          <w:tcPr>
            <w:tcW w:type="dxa" w:w="2792"/>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Teaching Clinic</w:t>
            </w:r>
          </w:p>
        </w:tc>
        <w:tc>
          <w:tcPr>
            <w:tcW w:type="dxa" w:w="6514"/>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Model klinik pendidikan yang digunakan sebagai wahana praktik lapangan calon dokter keluarga/DLP.</w:t>
            </w:r>
          </w:p>
        </w:tc>
      </w:tr>
      <w:tr>
        <w:trPr>
          <w:cantSplit/>
        </w:trPr>
        <w:tc>
          <w:tcPr>
            <w:tcW w:type="dxa" w:w="2792"/>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PPSDM Kesehatan</w:t>
            </w:r>
          </w:p>
        </w:tc>
        <w:tc>
          <w:tcPr>
            <w:tcW w:type="dxa" w:w="6514"/>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Pusat Pendidikan dan Pelatihan Sumber Daya Manusia Kesehatan, Kementerian Kesehatan RI.</w:t>
            </w:r>
          </w:p>
        </w:tc>
      </w:tr>
      <w:tr>
        <w:trPr>
          <w:cantSplit/>
        </w:trPr>
        <w:tc>
          <w:tcPr>
            <w:tcW w:type="dxa" w:w="2792"/>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KKI</w:t>
            </w:r>
          </w:p>
        </w:tc>
        <w:tc>
          <w:tcPr>
            <w:tcW w:type="dxa" w:w="6514"/>
            <w:tcBorders>
              <w:top w:val="none" w:color="FFFFFF" w:sz="0"/>
              <w:left w:val="none" w:color="FFFFFF" w:sz="0"/>
              <w:bottom w:val="single" w:color="E2E8F0" w:sz="4"/>
              <w:right w:val="none" w:color="FFFFFF" w:sz="0"/>
            </w:tcBorders>
            <w:shd w:fill="FFFFFF"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Konsil Kedokteran Indonesia, lembaga negara yang mengatur registrasi dan standar pendidikan/praktik kedokteran.</w:t>
            </w:r>
          </w:p>
        </w:tc>
      </w:tr>
      <w:tr>
        <w:trPr>
          <w:cantSplit/>
        </w:trPr>
        <w:tc>
          <w:tcPr>
            <w:tcW w:type="dxa" w:w="2792"/>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bCs/>
                <w:color w:val="0F172A"/>
                <w:sz w:val="19"/>
                <w:szCs w:val="19"/>
              </w:rPr>
              <w:t xml:space="preserve">Universal Health Coverage (UHC)</w:t>
            </w:r>
          </w:p>
        </w:tc>
        <w:tc>
          <w:tcPr>
            <w:tcW w:type="dxa" w:w="6514"/>
            <w:tcBorders>
              <w:top w:val="none" w:color="FFFFFF" w:sz="0"/>
              <w:left w:val="none" w:color="FFFFFF" w:sz="0"/>
              <w:bottom w:val="single" w:color="E2E8F0" w:sz="4"/>
              <w:right w:val="none" w:color="FFFFFF" w:sz="0"/>
            </w:tcBorders>
            <w:shd w:fill="F8FAFC" w:color="auto" w:val="clear"/>
            <w:tcMar>
              <w:top w:type="dxa" w:w="100"/>
              <w:left w:type="dxa" w:w="140"/>
              <w:bottom w:type="dxa" w:w="100"/>
              <w:right w:type="dxa" w:w="140"/>
            </w:tcMar>
          </w:tcPr>
          <w:p>
            <w:pPr>
              <w:spacing w:line="300" w:lineRule="auto"/>
            </w:pPr>
            <w:r>
              <w:rPr>
                <w:rFonts w:ascii="Calibri" w:cs="Calibri" w:eastAsia="Calibri" w:hAnsi="Calibri"/>
                <w:b w:val="false"/>
                <w:bCs w:val="false"/>
                <w:color w:val="334155"/>
                <w:sz w:val="19"/>
                <w:szCs w:val="19"/>
              </w:rPr>
              <w:t xml:space="preserve">Cakupan kesehatan semesta; kondisi seluruh penduduk memperoleh layanan kesehatan esensial tanpa kesulitan finansial.</w:t>
            </w:r>
          </w:p>
        </w:tc>
      </w:tr>
    </w:tbl>
    <w:p>
      <w:pPr>
        <w:spacing w:after="120"/>
      </w:pPr>
    </w:p>
    <w:p>
      <w:pPr>
        <w:pStyle w:val="Heading1"/>
        <w:pageBreakBefore/>
      </w:pPr>
      <w:bookmarkStart w:name="tentang" w:id="1"/>
      <w:r>
        <w:rPr>
          <w:rFonts w:ascii="Calibri" w:cs="Calibri" w:eastAsia="Calibri" w:hAnsi="Calibri"/>
        </w:rPr>
        <w:t xml:space="preserve">Tentang Penulis &amp; Editor</w:t>
      </w:r>
      <w:bookmarkEnd w:id="1"/>
    </w:p>
    <w:p>
      <w:pPr>
        <w:pStyle w:val="Heading2"/>
      </w:pPr>
      <w:r>
        <w:rPr>
          <w:rFonts w:ascii="Calibri" w:cs="Calibri" w:eastAsia="Calibri" w:hAnsi="Calibri"/>
        </w:rPr>
        <w:t xml:space="preserve">Tentang Penulis</w:t>
      </w:r>
    </w:p>
    <w:p>
      <w:pPr>
        <w:spacing w:after="160" w:line="352" w:lineRule="auto"/>
      </w:pPr>
      <w:r>
        <w:rPr>
          <w:rFonts w:ascii="Calibri" w:cs="Calibri" w:eastAsia="Calibri" w:hAnsi="Calibri"/>
          <w:color w:val="334155"/>
          <w:sz w:val="21"/>
          <w:szCs w:val="21"/>
        </w:rPr>
        <w:t xml:space="preserve">Dr.dr. Jack Roebijoso, M.Sc.(om)., PKK. adalah dosen dan peneliti pada Laboratorium Ilmu Kesehatan Masyarakat/Ilmu Kedokteran Pencegahan, Fakultas Kedokteran Universitas Brawijaya, Malang, sekaligus praktisi kedokteran keluarga dan kedokteran okupasi (dokter perusahaan) sejak akhir dekade 1980-an. Ia mengikuti pelatihan dokter keluarga yang diselenggarakan IDI, Departemen Kesehatan RI, dan Singapore International Foundation pada 1998, dan sejak itu aktif menyusun kajian, modul pelatihan, dan kurikulum seputar praktik dokter keluarga, manajemen strategik klinik, dan kesehatan kerja di Indonesia.</w:t>
      </w:r>
    </w:p>
    <w:p>
      <w:pPr>
        <w:pStyle w:val="Heading2"/>
      </w:pPr>
      <w:r>
        <w:rPr>
          <w:rFonts w:ascii="Calibri" w:cs="Calibri" w:eastAsia="Calibri" w:hAnsi="Calibri"/>
        </w:rPr>
        <w:t xml:space="preserve">Tentang Editor</w:t>
      </w:r>
    </w:p>
    <w:p>
      <w:pPr>
        <w:spacing w:after="160" w:line="352" w:lineRule="auto"/>
      </w:pPr>
      <w:r>
        <w:rPr>
          <w:rFonts w:ascii="Calibri" w:cs="Calibri" w:eastAsia="Calibri" w:hAnsi="Calibri"/>
          <w:color w:val="334155"/>
          <w:sz w:val="21"/>
          <w:szCs w:val="21"/>
        </w:rPr>
        <w:t xml:space="preserve">Dr.dr. Budi Siswanto, Sp.OG., Subsp.Obginsos., SH., S.Kom. adalah dokter spesialis Obstetri dan Ginekologi dengan subspesialisasi Obstetri Ginekologi Sosial, yang juga memiliki latar belakang pendidikan hukum dan ilmu komputer. Kombinasi keahlian klinis, sosial-kemasyarakatan, hukum kesehatan, dan teknologi informasi ini menjadi bekal utama dalam menyusun kembali naskah-naskah Dr.dr. Jack Roebijoso menjadi buku digital yang terstruktur dan mudah diakses publik melalui Perpustakaan Digital ABBA.</w:t>
      </w:r>
    </w:p>
    <w:p>
      <w:pPr>
        <w:pBdr>
          <w:top w:val="single" w:color="E2E8F0" w:sz="4" w:space="12"/>
        </w:pBdr>
        <w:spacing w:after="60" w:before="600"/>
      </w:pPr>
      <w:r>
        <w:rPr>
          <w:rFonts w:ascii="Calibri" w:cs="Calibri" w:eastAsia="Calibri" w:hAnsi="Calibri"/>
          <w:b/>
          <w:bCs/>
          <w:color w:val="0F172A"/>
          <w:sz w:val="20"/>
          <w:szCs w:val="20"/>
        </w:rPr>
        <w:t xml:space="preserve">Diterbitkan oleh Perpustakaan Digital ABBA</w:t>
      </w:r>
    </w:p>
    <w:p>
      <w:pPr>
        <w:spacing w:line="300" w:lineRule="auto"/>
      </w:pPr>
      <w:r>
        <w:rPr>
          <w:rFonts w:ascii="Calibri" w:cs="Calibri" w:eastAsia="Calibri" w:hAnsi="Calibri"/>
          <w:color w:val="64748B"/>
          <w:sz w:val="18"/>
          <w:szCs w:val="18"/>
        </w:rPr>
        <w:t xml:space="preserve">Naskah asli disusun oleh Dr.dr. Jack Roebijoso, M.Sc.(om)., PKK. Diunggah pada Google Drive penulis, disusun ulang menjadi buku digital oleh editor. Hak intelektual gagasan tetap pada penulis.</w:t>
      </w:r>
    </w:p>
    <w:sectPr>
      <w:headerReference w:type="default" r:id="rId7"/>
      <w:headerReference w:type="first" r:id="rId8"/>
      <w:footerReference w:type="default" r:id="rId9"/>
      <w:footerReference w:type="first" r:id="rId10"/>
      <w:pgSz w:w="11906" w:h="16838" w:orient="portrait"/>
      <w:pgMar w:top="1500" w:right="1300" w:bottom="1300" w:left="1300" w:header="600" w:footer="56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06"/>
      </w:tabs>
    </w:pPr>
    <w:r>
      <w:rPr>
        <w:rFonts w:ascii="Calibri" w:cs="Calibri" w:eastAsia="Calibri" w:hAnsi="Calibri"/>
        <w:color w:val="64748B"/>
        <w:sz w:val="17"/>
        <w:szCs w:val="17"/>
      </w:rPr>
      <w:t xml:space="preserve">Perpustakaan Digital ABBA • 2026</w:t>
    </w:r>
    <w:r>
      <w:rPr>
        <w:rFonts w:ascii="Calibri" w:cs="Calibri" w:eastAsia="Calibri" w:hAnsi="Calibri"/>
        <w:color w:val="64748B"/>
        <w:sz w:val="17"/>
        <w:szCs w:val="17"/>
      </w:rPr>
      <w:t xml:space="preserve">	Halaman </w:t>
    </w:r>
    <w:r>
      <w:rPr>
        <w:rFonts w:ascii="Calibri" w:cs="Calibri" w:eastAsia="Calibri" w:hAnsi="Calibri"/>
        <w:b/>
        <w:bCs/>
        <w:color w:val="4F46E5"/>
        <w:sz w:val="17"/>
        <w:szCs w:val="17"/>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E8F0" w:sz="4" w:space="8"/>
      </w:pBdr>
      <w:spacing w:after="0"/>
      <w:jc w:val="right"/>
    </w:pPr>
    <w:r>
      <w:rPr>
        <w:rFonts w:ascii="Calibri" w:cs="Calibri" w:eastAsia="Calibri" w:hAnsi="Calibri"/>
        <w:color w:val="64748B"/>
        <w:sz w:val="17"/>
        <w:szCs w:val="17"/>
      </w:rPr>
      <w:t xml:space="preserve">Arsitek Dokter Keluarga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4F46E5"/>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4155"/>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Bdr>
        <w:bottom w:val="single" w:color="E2E8F0" w:sz="6" w:space="12"/>
      </w:pBdr>
      <w:spacing w:after="280" w:before="0" w:line="250" w:lineRule="auto"/>
      <w:outlineLvl w:val="0"/>
    </w:pPr>
    <w:rPr>
      <w:rFonts w:ascii="Calibri" w:cs="Calibri" w:eastAsia="Calibri" w:hAnsi="Calibri"/>
      <w:b/>
      <w:bCs/>
      <w:color w:val="0F172A"/>
      <w:sz w:val="52"/>
      <w:szCs w:val="52"/>
    </w:rPr>
  </w:style>
  <w:style w:type="paragraph" w:styleId="Heading2">
    <w:name w:val="Heading 2"/>
    <w:basedOn w:val="Normal"/>
    <w:next w:val="Normal"/>
    <w:qFormat/>
    <w:pPr>
      <w:keepNext/>
      <w:spacing w:after="140" w:before="360"/>
      <w:outlineLvl w:val="1"/>
    </w:pPr>
    <w:rPr>
      <w:rFonts w:ascii="Calibri" w:cs="Calibri" w:eastAsia="Calibri" w:hAnsi="Calibri"/>
      <w:b/>
      <w:bCs/>
      <w:color w:val="4338CA"/>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8bmj4_yxphp07pnpt731y" Type="http://schemas.openxmlformats.org/officeDocument/2006/relationships/hyperlink" Target="https://www.who.int/publications-detail-redirect/declaration-of-alma-ata" TargetMode="External"/><Relationship Id="rIdf-awhvm_8shb7gvcqfq1i" Type="http://schemas.openxmlformats.org/officeDocument/2006/relationships/hyperlink" Target="https://www.who.int/publications/i/item/WHO-HIS-SDS-2018.61" TargetMode="External"/><Relationship Id="rId42b-gbi5sflgfw7otlk5w" Type="http://schemas.openxmlformats.org/officeDocument/2006/relationships/hyperlink" Target="https://pmc.ncbi.nlm.nih.gov/articles/PMC2690145/" TargetMode="External"/><Relationship Id="rIdowwhsdle1kysta7soyr40" Type="http://schemas.openxmlformats.org/officeDocument/2006/relationships/hyperlink" Target="https://kesprimkom.kemkes.go.id/konten/158/154/0/6-pilar-transformasi-kesehatan" TargetMode="External"/><Relationship Id="rIdluneoijpjcsdev3fn-7eu" Type="http://schemas.openxmlformats.org/officeDocument/2006/relationships/hyperlink" Target="https://doi.org/10.1136/bmj.312.7023.71" TargetMode="External"/><Relationship Id="rIdgdw3dif7gdku9cugpnwd8" Type="http://schemas.openxmlformats.org/officeDocument/2006/relationships/hyperlink" Target="https://lifestylemedicine.org/about-lifestyle-medicine/" TargetMode="External"/><Relationship Id="rIdg9uley6jllmspjjqtdjzp" Type="http://schemas.openxmlformats.org/officeDocument/2006/relationships/hyperlink" Target="https://www.ahajournals.org/doi/10.1161/hyp.0000000000000065" TargetMode="External"/><Relationship Id="rIda8jaklnjhg75nwnhc-rfl" Type="http://schemas.openxmlformats.org/officeDocument/2006/relationships/hyperlink" Target="https://pmc.ncbi.nlm.nih.gov/articles/PMC3671693/" TargetMode="External"/><Relationship Id="rIda-ffj3pvvy1y4u-p6vymr" Type="http://schemas.openxmlformats.org/officeDocument/2006/relationships/hyperlink" Target="https://www.who.int/publications/i/item/WHO-IER-CSDH-08.1" TargetMode="External"/><Relationship Id="rIdzaziud4csmuixyipm3bao" Type="http://schemas.openxmlformats.org/officeDocument/2006/relationships/hyperlink" Target="https://peraturan.bpk.go.id/details/258028/uu-no-17-tahun-2023" TargetMode="External"/><Relationship Id="rIdwycbazqfgh2dddn8b9x8k" Type="http://schemas.openxmlformats.org/officeDocument/2006/relationships/hyperlink" Target="https://peraturan.bpk.go.id/Details/40752/uu-no-29-tahun-2004" TargetMode="External"/><Relationship Id="rIdtquqwix6zwgak5xe-dhuw" Type="http://schemas.openxmlformats.org/officeDocument/2006/relationships/hyperlink" Target="https://sdgs.un.org/goals/goal3"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Arsitek Dokter Keluarga</dc:title>
  <dc:creator>Perpustakaan Digital ABBA</dc:creator>
  <dc:description>Reformasi Layanan Primer Indonesia: Dari Kedokteran Kuratif Menuju Kedokteran Holistik yang Berkeadilan</dc:description>
  <cp:lastModifiedBy>Un-named</cp:lastModifiedBy>
  <cp:revision>1</cp:revision>
  <dcterms:created xsi:type="dcterms:W3CDTF">2026-10-01T04:46:14.238Z</dcterms:created>
  <dcterms:modified xsi:type="dcterms:W3CDTF">2026-10-01T04:46:14.238Z</dcterms:modified>
</cp:coreProperties>
</file>

<file path=docProps/custom.xml><?xml version="1.0" encoding="utf-8"?>
<Properties xmlns="http://schemas.openxmlformats.org/officeDocument/2006/custom-properties" xmlns:vt="http://schemas.openxmlformats.org/officeDocument/2006/docPropsVTypes"/>
</file>