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600"/>
        <w:jc w:val="center"/>
      </w:pPr>
      <w:r>
        <w:rPr>
          <w:b/>
          <w:bCs/>
          <w:color w:val="0D9488"/>
          <w:spacing w:val="20"/>
          <w:sz w:val="20"/>
          <w:szCs w:val="20"/>
        </w:rPr>
        <w:t xml:space="preserve">SERI REFORMASI LAYANAN PRIMER — BUKU 6</w:t>
      </w:r>
    </w:p>
    <w:p>
      <w:pPr>
        <w:spacing w:after="300"/>
        <w:jc w:val="center"/>
      </w:pPr>
      <w:r>
        <w:rPr>
          <w:b/>
          <w:bCs/>
          <w:color w:val="0F172A"/>
          <w:sz w:val="56"/>
          <w:szCs w:val="56"/>
        </w:rPr>
        <w:t xml:space="preserve">K3 Terpadu</w:t>
      </w:r>
    </w:p>
    <w:p>
      <w:pPr>
        <w:spacing w:after="600"/>
        <w:jc w:val="center"/>
      </w:pPr>
      <w:r>
        <w:rPr>
          <w:i/>
          <w:iCs/>
          <w:color w:val="475569"/>
          <w:sz w:val="26"/>
          <w:szCs w:val="26"/>
        </w:rPr>
        <w:t xml:space="preserve">Mengintegrasikan Keselamatan dan Kesehatan Kerja dengan Layanan Kesehatan Keluarga di Era BPJS</w:t>
      </w:r>
    </w:p>
    <w:p>
      <w:pPr>
        <w:pBdr>
          <w:top w:val="single" w:color="2563EB" w:sz="12" w:space="12"/>
        </w:pBdr>
        <w:spacing w:after="80"/>
        <w:jc w:val="center"/>
      </w:pPr>
    </w:p>
    <w:p>
      <w:pPr>
        <w:spacing w:after="1200"/>
      </w:pPr>
    </w:p>
    <w:p>
      <w:pPr>
        <w:spacing w:after="60"/>
        <w:jc w:val="center"/>
      </w:pPr>
      <w:r>
        <w:rPr>
          <w:b/>
          <w:bCs/>
          <w:color w:val="475569"/>
          <w:sz w:val="18"/>
          <w:szCs w:val="18"/>
        </w:rPr>
        <w:t xml:space="preserve">PENULIS</w:t>
      </w:r>
    </w:p>
    <w:p>
      <w:pPr>
        <w:spacing w:after="220"/>
        <w:jc w:val="center"/>
      </w:pPr>
      <w:r>
        <w:rPr>
          <w:b/>
          <w:bCs/>
          <w:color w:val="0F172A"/>
          <w:sz w:val="24"/>
          <w:szCs w:val="24"/>
        </w:rPr>
        <w:t xml:space="preserve">Dr.dr. Jack Roebijoso, M.Sc.(om)., PKK.</w:t>
      </w:r>
    </w:p>
    <w:p>
      <w:pPr>
        <w:spacing w:after="60"/>
        <w:jc w:val="center"/>
      </w:pPr>
      <w:r>
        <w:rPr>
          <w:b/>
          <w:bCs/>
          <w:color w:val="475569"/>
          <w:sz w:val="18"/>
          <w:szCs w:val="18"/>
        </w:rPr>
        <w:t xml:space="preserve">EDITOR / PENYUSUN</w:t>
      </w:r>
    </w:p>
    <w:p>
      <w:pPr>
        <w:spacing w:after="220"/>
        <w:jc w:val="center"/>
      </w:pPr>
      <w:r>
        <w:rPr>
          <w:b/>
          <w:bCs/>
          <w:color w:val="0F172A"/>
          <w:sz w:val="24"/>
          <w:szCs w:val="24"/>
        </w:rPr>
        <w:t xml:space="preserve">Dr.dr. Budi Siswanto, Sp.OG., Subsp.Obginsos., SH., S.Kom.</w:t>
      </w:r>
    </w:p>
    <w:p>
      <w:pPr>
        <w:spacing w:after="900"/>
        <w:jc w:val="center"/>
      </w:pPr>
      <w:r>
        <w:rPr>
          <w:b/>
          <w:bCs/>
          <w:color w:val="2563EB"/>
          <w:sz w:val="20"/>
          <w:szCs w:val="20"/>
        </w:rPr>
        <w:t xml:space="preserve">Perpustakaan Digital ABBA • 2026</w:t>
      </w:r>
    </w:p>
    <w:p>
      <w:r>
        <w:br w:type="page"/>
      </w:r>
    </w:p>
    <w:p>
      <w:pPr>
        <w:pStyle w:val="Heading1"/>
        <w:pBdr>
          <w:bottom w:val="single" w:color="2563EB" w:sz="12" w:space="6"/>
        </w:pBdr>
        <w:spacing w:after="240" w:before="480"/>
      </w:pPr>
      <w:r>
        <w:rPr>
          <w:b/>
          <w:bCs/>
          <w:color w:val="0F172A"/>
          <w:sz w:val="34"/>
          <w:szCs w:val="34"/>
        </w:rPr>
        <w:t xml:space="preserve">Daftar Isi</w:t>
      </w:r>
    </w:p>
    <w:p>
      <w:pPr>
        <w:tabs>
          <w:tab w:val="right" w:pos="9026" w:leader="dot"/>
        </w:tabs>
        <w:spacing w:after="120"/>
      </w:pPr>
      <w:r>
        <w:rPr>
          <w:color w:val="1E293B"/>
          <w:sz w:val="23"/>
          <w:szCs w:val="23"/>
        </w:rPr>
        <w:t xml:space="preserve">1. Studi Kasus: K3 Terintegrasi di PG Kebon Agung Malang</w:t>
      </w:r>
      <w:r>
        <w:rPr>
          <w:sz w:val="23"/>
          <w:szCs w:val="23"/>
        </w:rPr>
        <w:t xml:space="preserve">	</w:t>
      </w:r>
    </w:p>
    <w:p>
      <w:pPr>
        <w:tabs>
          <w:tab w:val="right" w:pos="9026" w:leader="dot"/>
        </w:tabs>
        <w:spacing w:after="120"/>
      </w:pPr>
      <w:r>
        <w:rPr>
          <w:color w:val="1E293B"/>
          <w:sz w:val="23"/>
          <w:szCs w:val="23"/>
        </w:rPr>
        <w:t xml:space="preserve">2. K3 sebagai Bagian Kompetensi Dokter Layanan Primer</w:t>
      </w:r>
      <w:r>
        <w:rPr>
          <w:sz w:val="23"/>
          <w:szCs w:val="23"/>
        </w:rPr>
        <w:t xml:space="preserve">	</w:t>
      </w:r>
    </w:p>
    <w:p>
      <w:pPr>
        <w:spacing w:after="120"/>
      </w:pPr>
      <w:r>
        <w:rPr>
          <w:sz w:val="23"/>
          <w:szCs w:val="23"/>
        </w:rPr>
        <w:t xml:space="preserve">3. Rangkuman &amp; Penutup</w:t>
      </w:r>
    </w:p>
    <w:p>
      <w:pPr>
        <w:spacing w:after="120"/>
      </w:pPr>
      <w:r>
        <w:rPr>
          <w:sz w:val="23"/>
          <w:szCs w:val="23"/>
        </w:rPr>
        <w:t xml:space="preserve">4. Daftar Pustaka</w:t>
      </w:r>
    </w:p>
    <w:p>
      <w:pPr>
        <w:spacing w:after="120"/>
      </w:pPr>
      <w:r>
        <w:rPr>
          <w:sz w:val="23"/>
          <w:szCs w:val="23"/>
        </w:rPr>
        <w:t xml:space="preserve">5. Glosarium</w:t>
      </w:r>
    </w:p>
    <w:p>
      <w:pPr>
        <w:spacing w:after="120"/>
      </w:pPr>
      <w:r>
        <w:rPr>
          <w:sz w:val="23"/>
          <w:szCs w:val="23"/>
        </w:rPr>
        <w:t xml:space="preserve">6. Tentang Penulis &amp; Editor</w:t>
      </w:r>
    </w:p>
    <w:p>
      <w:r>
        <w:br w:type="page"/>
      </w:r>
    </w:p>
    <w:p>
      <w:pPr>
        <w:pStyle w:val="Heading1"/>
        <w:pBdr>
          <w:bottom w:val="single" w:color="2563EB" w:sz="12" w:space="6"/>
        </w:pBdr>
        <w:spacing w:after="240" w:before="480"/>
      </w:pPr>
      <w:r>
        <w:rPr>
          <w:b/>
          <w:bCs/>
          <w:color w:val="0F172A"/>
          <w:sz w:val="34"/>
          <w:szCs w:val="34"/>
        </w:rPr>
        <w:t xml:space="preserve">Kata Pengantar Editor</w:t>
      </w:r>
    </w:p>
    <w:p>
      <w:pPr>
        <w:spacing w:after="160" w:line="320"/>
        <w:jc w:val="both"/>
      </w:pPr>
      <w:r>
        <w:rPr>
          <w:color w:val="1E293B"/>
          <w:sz w:val="22"/>
          <w:szCs w:val="22"/>
        </w:rPr>
        <w:t xml:space="preserve">Sebelum dikenal luas sebagai penggagas model dokter keluarga, Dr.dr. Jack Roebijoso lebih dulu berpraktik sebagai dokter kesehatan kerja (dokter perusahaan) di Pabrik Gula Kebon Agung, Malang, sejak akhir 1980-an. Pengalaman inilah yang melahirkan gagasan khasnya: bahwa Keselamatan dan Kesehatan Kerja (K3) tidak boleh dipisahkan dari pelayanan kesehatan keluarga karyawan, melainkan harus dikelola sebagai satu sistem terintegrasi.</w:t>
      </w:r>
    </w:p>
    <w:p>
      <w:pPr>
        <w:spacing w:after="160" w:line="320"/>
        <w:jc w:val="both"/>
      </w:pPr>
      <w:r>
        <w:rPr>
          <w:color w:val="1E293B"/>
          <w:sz w:val="22"/>
          <w:szCs w:val="22"/>
        </w:rPr>
        <w:t xml:space="preserve">Buku keenam ini merangkum studi kasus penerapan K3 terintegrasi di PG Kebon Agung, materi ajar K3 yang beliau susun untuk mahasiswa kedokteran tingkat sarjana (S1), draf nota kesepahaman kerja sama K3 antar-institusi, hingga materi ergonomi kerja. Kotak "Perspektif Tambahan" pada setiap bab menautkan gagasan penulis dengan kerangka K3 internasional dari International Labour Organization (ILO) dan regulasi ketenagakerjaan Indonesia yang berlaku.</w:t>
      </w:r>
    </w:p>
    <w:p>
      <w:pPr>
        <w:spacing w:before="400"/>
        <w:jc w:val="right"/>
      </w:pPr>
      <w:r>
        <w:rPr>
          <w:i/>
          <w:iCs/>
          <w:sz w:val="22"/>
          <w:szCs w:val="22"/>
        </w:rPr>
        <w:t xml:space="preserve">Dr.dr. Budi Siswanto, Sp.OG., Subsp.Obginsos., SH., S.Kom.</w:t>
      </w:r>
    </w:p>
    <w:p>
      <w:pPr>
        <w:jc w:val="right"/>
      </w:pPr>
      <w:r>
        <w:rPr>
          <w:color w:val="475569"/>
          <w:sz w:val="20"/>
          <w:szCs w:val="20"/>
        </w:rPr>
        <w:t xml:space="preserve">Editor / Penyusun</w:t>
      </w:r>
    </w:p>
    <w:p>
      <w:r>
        <w:br w:type="page"/>
      </w:r>
    </w:p>
    <w:p>
      <w:pPr>
        <w:pStyle w:val="Heading1"/>
        <w:pBdr>
          <w:bottom w:val="single" w:color="2563EB" w:sz="12" w:space="6"/>
        </w:pBdr>
        <w:spacing w:after="240" w:before="480"/>
      </w:pPr>
      <w:r>
        <w:rPr>
          <w:b/>
          <w:bCs/>
          <w:color w:val="0F172A"/>
          <w:sz w:val="34"/>
          <w:szCs w:val="34"/>
        </w:rPr>
        <w:t xml:space="preserve">Studi Kasus: K3 Terintegrasi di PG Kebon Agung Malang</w:t>
      </w:r>
    </w:p>
    <w:p>
      <w:pPr>
        <w:spacing w:after="160" w:line="320"/>
        <w:jc w:val="both"/>
      </w:pPr>
      <w:r>
        <w:rPr>
          <w:color w:val="1E293B"/>
          <w:sz w:val="22"/>
          <w:szCs w:val="22"/>
        </w:rPr>
        <w:t xml:space="preserve">Naskah utama bab ini, "Konsep dan Praktek: Pengelolaan Keselamatan dan Kesehatan Kerja (K3) dan Pelayanan Kesehatan Keluarga yang Terintegrasi di PG Kebon Agung Malang, di Era BPJS" (2016), menjadi studi kasus inti pemikiran penulis tentang K3.</w:t>
      </w:r>
    </w:p>
    <w:p>
      <w:pPr>
        <w:pStyle w:val="Heading2"/>
        <w:spacing w:after="160" w:before="320"/>
      </w:pPr>
      <w:r>
        <w:rPr>
          <w:b/>
          <w:bCs/>
          <w:color w:val="2563EB"/>
          <w:sz w:val="26"/>
          <w:szCs w:val="26"/>
        </w:rPr>
        <w:t xml:space="preserve">Landasan Hukum Program K3</w:t>
      </w:r>
    </w:p>
    <w:p>
      <w:pPr>
        <w:spacing w:after="160" w:line="320"/>
        <w:jc w:val="both"/>
      </w:pPr>
      <w:r>
        <w:rPr>
          <w:color w:val="1E293B"/>
          <w:sz w:val="22"/>
          <w:szCs w:val="22"/>
        </w:rPr>
        <w:t xml:space="preserve">Penulis menegaskan bahwa penyelenggaraan K3 di setiap perusahaan merupakan manifestasi pelaksanaan Undang-Undang Jaminan Sosial Tenaga Kerja — merujuk pada Undang-Undang Nomor 3 Tahun 1992 dan Peraturan Pemerintah Nomor 14 Tahun 1993 tentang Penyelenggaraan Program Jaminan Sosial Tenaga Kerja, khususnya ketentuan tentang Jaminan Pemeliharaan Kesehatan pada pasal-pasal terkait — yang memang menjadi payung hukum yang berlaku pada saat studi kasus ini ditulis (2016). Kerangka hukum ini menjadi dasar formal mengapa perusahaan seperti PG Kebon Agung wajib menyelenggarakan program K3 bagi karyawannya. Perlu dicatat untuk pembaca masa kini: UU Nomor 3 Tahun 1992 tersebut telah dicabut dan digantikan oleh UU Nomor 24 Tahun 2011 tentang Badan Penyelenggara Jaminan Sosial sejak BPJS Ketenagakerjaan resmi beroperasi pada 1 Juli 2015, sehingga landasan hukum kewajiban K3 perusahaan saat ini merujuk pada UU BPJS beserta UU Nomor 13 Tahun 2003 tentang Ketenagakerjaan.</w:t>
      </w:r>
    </w:p>
    <w:p>
      <w:pPr>
        <w:pStyle w:val="Heading2"/>
        <w:spacing w:after="160" w:before="320"/>
      </w:pPr>
      <w:r>
        <w:rPr>
          <w:b/>
          <w:bCs/>
          <w:color w:val="2563EB"/>
          <w:sz w:val="26"/>
          <w:szCs w:val="26"/>
        </w:rPr>
        <w:t xml:space="preserve">Integrasi Poliklinik Perusahaan dan Tim P2K3</w:t>
      </w:r>
    </w:p>
    <w:p>
      <w:pPr>
        <w:spacing w:after="160" w:line="320"/>
        <w:jc w:val="both"/>
      </w:pPr>
      <w:r>
        <w:rPr>
          <w:color w:val="1E293B"/>
          <w:sz w:val="22"/>
          <w:szCs w:val="22"/>
        </w:rPr>
        <w:t xml:space="preserve">Yang membedakan model penulis dari praktik K3 konvensional adalah integrasi fungsional antara Tim Panitia Pembina Keselamatan dan Kesehatan Kerja (P2K3) perusahaan dengan poliklinik perusahaan yang berperan sebagai konsultan dan supervisor kegiatan K3 — bukan sekadar unit pengobatan pasif bagi karyawan yang sakit atau cedera. Melalui kerja sama ini, poliklinik turut menyusun struktur organisasi, manajemen strategik (visi, misi, objektif, strategi, operasional), hingga modul dan format kegiatan P2K3 secara bersama-sama, sebagaimana tertuang dalam draf MOU K3 antara PT. Kebon Agung dan pihak konsultan (TAS).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Kerangka K3 Internasional dan Nasional</w:t>
            </w:r>
          </w:p>
          <w:p>
            <w:pPr>
              <w:spacing w:after="90"/>
              <w:jc w:val="both"/>
            </w:pPr>
            <w:r>
              <w:rPr>
                <w:color w:val="134E4A"/>
                <w:sz w:val="21"/>
                <w:szCs w:val="21"/>
              </w:rPr>
              <w:t xml:space="preserve">Model integrasi poliklinik-P2K3 yang dirintis penulis sejalan dengan Konvensi ILO No. 161 tentang Occupational Health Services (1985), yang menekankan bahwa layanan kesehatan kerja idealnya bersifat multidisipliner dan preventif, bukan sekadar reaktif terhadap kecelakaan/penyakit. Di Indonesia, kewajiban perusahaan membentuk P2K3 juga diatur lebih lanjut dalam Peraturan Menteri Ketenagakerjaan yang mengatur tata cara pembentukan dan tugas P2K3, sehingga model penulis pada dasarnya adalah implementasi lanjutan dari mandat regulasi yang telah ada, diperkaya dengan integrasi layanan dokter keluarga.</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K3 sebagai Bagian Kompetensi Dokter Layanan Primer</w:t>
      </w:r>
    </w:p>
    <w:p>
      <w:pPr>
        <w:spacing w:after="160" w:line="320"/>
        <w:jc w:val="both"/>
      </w:pPr>
      <w:r>
        <w:rPr>
          <w:color w:val="1E293B"/>
          <w:sz w:val="22"/>
          <w:szCs w:val="22"/>
        </w:rPr>
        <w:t xml:space="preserve">Penulis merancang materi kuliah K3 untuk mahasiswa kedokteran tingkat sarjana (S1) di Fakultas Kedokteran, dengan argumen bahwa K3 adalah bagian tak terpisahkan dari kompetensi dokter layanan primer di era JKN/BPJS.</w:t>
      </w:r>
    </w:p>
    <w:p>
      <w:pPr>
        <w:pStyle w:val="Heading2"/>
        <w:spacing w:after="160" w:before="320"/>
      </w:pPr>
      <w:r>
        <w:rPr>
          <w:b/>
          <w:bCs/>
          <w:color w:val="2563EB"/>
          <w:sz w:val="26"/>
          <w:szCs w:val="26"/>
        </w:rPr>
        <w:t xml:space="preserve">Tiga Pilar Upaya Kesehatan Primer</w:t>
      </w:r>
    </w:p>
    <w:p>
      <w:pPr>
        <w:spacing w:after="160" w:line="320"/>
        <w:jc w:val="both"/>
      </w:pPr>
      <w:r>
        <w:rPr>
          <w:color w:val="1E293B"/>
          <w:sz w:val="22"/>
          <w:szCs w:val="22"/>
        </w:rPr>
        <w:t xml:space="preserve">Penulis menempatkan K3 sebagai bagian dari Upaya Kesehatan Komunitas/Kerja (UKK), yang harus terintegrasi secara fungsional-strategik dengan dua pilar lain: Upaya Kesehatan Perorangan (UKP) dan Upaya Kesehatan Publik/Masyarakat (UKM), dalam kerangka Sistem Kesehatan Daerah maupun Sistem Kesehatan Nasional. Argumen ini konsisten dengan penekanan penulis pada buku pertama seri ini tentang pentingnya integrasi UKP-UKM sebagai kompetensi strategik dokter keluarga.</w:t>
      </w:r>
    </w:p>
    <w:p>
      <w:pPr>
        <w:pStyle w:val="Heading2"/>
        <w:spacing w:after="160" w:before="320"/>
      </w:pPr>
      <w:r>
        <w:rPr>
          <w:b/>
          <w:bCs/>
          <w:color w:val="2563EB"/>
          <w:sz w:val="26"/>
          <w:szCs w:val="26"/>
        </w:rPr>
        <w:t xml:space="preserve">Ergonomi Kerja: Keserasian Pekerja, Alat, dan Lingkungan</w:t>
      </w:r>
    </w:p>
    <w:p>
      <w:pPr>
        <w:spacing w:after="160" w:line="320"/>
        <w:jc w:val="both"/>
      </w:pPr>
      <w:r>
        <w:rPr>
          <w:color w:val="1E293B"/>
          <w:sz w:val="22"/>
          <w:szCs w:val="22"/>
        </w:rPr>
        <w:t xml:space="preserve">Materi "Ergonomi Kerja" yang disusun penulis mendefinisikan ergonomi sebagai keserasian antara pekerja (usia, jenis kelamin, ukuran tubuh, psikologi, status sosial-budaya), alat kerja (sederhana hingga otomatik), cara kerja (manual, pegas, pengungkit, hidrolik, produksi massal), bahan kerja (netral hingga berbahaya), dan lingkungan kerja (suhu, kelembapan, kebisingan, hubungan sosial-organisasi-budaya). Ketidakserasian pada salah satu aspek ini, menurut penulis, dapat berdampak pada keselamatan (kecelakaan/trauma ringan hingga berat seperti kebakaran, jatuh, kecelakaan transportasi kerja) maupun kesehatan (penyakit akibat kerja).</w:t>
      </w:r>
    </w:p>
    <w:p>
      <w:pPr>
        <w:spacing w:after="160" w:line="320"/>
        <w:jc w:val="both"/>
      </w:pPr>
      <w:r>
        <w:rPr>
          <w:color w:val="1E293B"/>
          <w:sz w:val="22"/>
          <w:szCs w:val="22"/>
        </w:rPr>
        <w:t xml:space="preserve">Sebagai instrumen pendukung praktik lapangan, penulis turut merancang format daftar isian skrining K3 — alat pengumpulan data terstruktur untuk memetakan risiko kesehatan kerja di suatu unit kerja/perusahaan sebagai dasar perencanaan program K3 yang tepat sasaran.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D9488" w:sz="4"/>
              <w:left w:val="single" w:color="0D9488" w:sz="24"/>
              <w:bottom w:val="single" w:color="0D9488" w:sz="4"/>
              <w:right w:val="single" w:color="0D9488" w:sz="4"/>
            </w:tcBorders>
            <w:shd w:fill="ECFEFF" w:color="auto" w:val="clear"/>
            <w:tcMar>
              <w:top w:type="dxa" w:w="160"/>
              <w:left w:type="dxa" w:w="200"/>
              <w:bottom w:type="dxa" w:w="160"/>
              <w:right w:type="dxa" w:w="200"/>
            </w:tcMar>
          </w:tcPr>
          <w:p>
            <w:pPr>
              <w:spacing w:after="100"/>
            </w:pPr>
            <w:r>
              <w:rPr>
                <w:b/>
                <w:bCs/>
                <w:color w:val="0F766E"/>
                <w:sz w:val="22"/>
                <w:szCs w:val="22"/>
              </w:rPr>
              <w:t xml:space="preserve">✦ Perspektif Tambahan — Ergonomi dalam Standar Internasional</w:t>
            </w:r>
          </w:p>
          <w:p>
            <w:pPr>
              <w:spacing w:after="90"/>
              <w:jc w:val="both"/>
            </w:pPr>
            <w:r>
              <w:rPr>
                <w:color w:val="134E4A"/>
                <w:sz w:val="21"/>
                <w:szCs w:val="21"/>
              </w:rPr>
              <w:t xml:space="preserve">Definisi ergonomi yang dipakai penulis konsisten dengan definisi resmi International Ergonomics Association (IEA), yang mendefinisikan ergonomi/human factors sebagai disiplin ilmiah yang mempelajari interaksi antara manusia dan elemen sistem lain (fisik, kognitif, organisasional) untuk mengoptimalkan kesejahteraan manusia dan kinerja sistem secara keseluruhan. Standar internasional seperti ISO 6385 tentang prinsip ergonomis dalam desain sistem kerja juga menegaskan pentingnya pendekatan multi-faktor yang sama seperti dijelaskan penulis: manusia, alat, tugas, dan lingkungan sebagai satu sistem yang saling memengaruhi.</w:t>
            </w:r>
          </w:p>
        </w:tc>
      </w:tr>
    </w:tbl>
    <w:p>
      <w:pPr>
        <w:spacing w:after="160"/>
      </w:pPr>
    </w:p>
    <w:p>
      <w:r>
        <w:br w:type="page"/>
      </w:r>
    </w:p>
    <w:p>
      <w:pPr>
        <w:pStyle w:val="Heading1"/>
        <w:pBdr>
          <w:bottom w:val="single" w:color="2563EB" w:sz="12" w:space="6"/>
        </w:pBdr>
        <w:spacing w:after="240" w:before="480"/>
      </w:pPr>
      <w:r>
        <w:rPr>
          <w:b/>
          <w:bCs/>
          <w:color w:val="0F172A"/>
          <w:sz w:val="34"/>
          <w:szCs w:val="34"/>
        </w:rPr>
        <w:t xml:space="preserve">Rangkuman &amp; Penutup</w:t>
      </w:r>
    </w:p>
    <w:p>
      <w:pPr>
        <w:spacing w:after="160" w:line="320"/>
        <w:jc w:val="both"/>
      </w:pPr>
      <w:r>
        <w:rPr>
          <w:color w:val="1E293B"/>
          <w:sz w:val="22"/>
          <w:szCs w:val="22"/>
        </w:rPr>
        <w:t xml:space="preserve">Buku keenam ini melengkapi seri pemikiran Dr.dr. Jack Roebijoso dengan menunjukkan bahwa gagasan integrasi layanan kesehatan primer yang ia usung sejak awal karier tidak berhenti pada klinik dokter keluarga semata, melainkan meluas hingga ke lingkungan kerja industri — sebuah area yang sering luput dari perhatian pembahasan reformasi layanan primer pada umumnya.</w:t>
      </w:r>
    </w:p>
    <w:p>
      <w:pPr>
        <w:spacing w:after="160" w:line="320"/>
        <w:jc w:val="both"/>
      </w:pPr>
      <w:r>
        <w:rPr>
          <w:color w:val="1E293B"/>
          <w:sz w:val="22"/>
          <w:szCs w:val="22"/>
        </w:rPr>
        <w:t xml:space="preserve">Model K3 terintegrasi yang dirintis di PG Kebon Agung Malang menjadi bukti konkret bahwa gagasan besar tentang kedokteran holistik dan manajemen strategik klinik, sebagaimana dibahas pada buku-buku sebelumnya dalam seri ini, dapat diterapkan secara nyata dalam konteks kesehatan kerja industri di Indonesia.</w:t>
      </w:r>
    </w:p>
    <w:p>
      <w:r>
        <w:br w:type="page"/>
      </w:r>
    </w:p>
    <w:p>
      <w:pPr>
        <w:pStyle w:val="Heading1"/>
        <w:pBdr>
          <w:bottom w:val="single" w:color="2563EB" w:sz="12" w:space="6"/>
        </w:pBdr>
        <w:spacing w:after="240" w:before="480"/>
      </w:pPr>
      <w:r>
        <w:rPr>
          <w:b/>
          <w:bCs/>
          <w:color w:val="0F172A"/>
          <w:sz w:val="34"/>
          <w:szCs w:val="34"/>
        </w:rPr>
        <w:t xml:space="preserve">Daftar Pustaka</w:t>
      </w:r>
    </w:p>
    <w:p>
      <w:pPr>
        <w:spacing w:after="140"/>
        <w:ind w:left="431" w:hanging="431"/>
      </w:pPr>
      <w:r>
        <w:rPr>
          <w:color w:val="1E293B"/>
          <w:sz w:val="21"/>
          <w:szCs w:val="21"/>
        </w:rPr>
        <w:t xml:space="preserve">Roebijoso, J. Konsep dan Praktek Pengelolaan K3 KBA (2016), K3 Kuliah untuk S1 FK, MOU K3 KBA, Ergonomi Kerja, dan Format Skrining K3 (koleksi pribadi, tidak dipublikasikan).</w:t>
      </w:r>
    </w:p>
    <w:p>
      <w:pPr>
        <w:spacing w:after="140"/>
        <w:ind w:left="431" w:hanging="431"/>
      </w:pPr>
      <w:r>
        <w:rPr>
          <w:color w:val="1E293B"/>
          <w:sz w:val="21"/>
          <w:szCs w:val="21"/>
        </w:rPr>
        <w:t xml:space="preserve">Republik Indonesia. Undang-Undang Nomor 3 Tahun 1992 tentang Jaminan Sosial Tenaga Kerja (telah dicabut, dicantumkan sebagai konteks historis studi kasus 2016).</w:t>
      </w:r>
      <w:r>
        <w:rPr>
          <w:color w:val="2563EB"/>
          <w:sz w:val="21"/>
          <w:szCs w:val="21"/>
          <w:u w:val="single"/>
        </w:rPr>
        <w:t xml:space="preserve">  https://peraturan.bpk.go.id/Details/46595/uu-no-3-tahun-1992</w:t>
      </w:r>
    </w:p>
    <w:p>
      <w:pPr>
        <w:spacing w:after="140"/>
        <w:ind w:left="431" w:hanging="431"/>
      </w:pPr>
      <w:r>
        <w:rPr>
          <w:color w:val="1E293B"/>
          <w:sz w:val="21"/>
          <w:szCs w:val="21"/>
        </w:rPr>
        <w:t xml:space="preserve">Republik Indonesia. Undang-Undang Nomor 24 Tahun 2011 tentang Badan Penyelenggara Jaminan Sosial (menggantikan UU No. 3 Tahun 1992 sejak 1 Juli 2015).</w:t>
      </w:r>
      <w:r>
        <w:rPr>
          <w:color w:val="2563EB"/>
          <w:sz w:val="21"/>
          <w:szCs w:val="21"/>
          <w:u w:val="single"/>
        </w:rPr>
        <w:t xml:space="preserve">  https://peraturan.bpk.go.id/Details/39268</w:t>
      </w:r>
    </w:p>
    <w:p>
      <w:pPr>
        <w:spacing w:after="140"/>
        <w:ind w:left="431" w:hanging="431"/>
      </w:pPr>
      <w:r>
        <w:rPr>
          <w:color w:val="1E293B"/>
          <w:sz w:val="21"/>
          <w:szCs w:val="21"/>
        </w:rPr>
        <w:t xml:space="preserve">International Labour Organization. Occupational Health Services Convention, 1985 (No. 161).</w:t>
      </w:r>
      <w:r>
        <w:rPr>
          <w:color w:val="2563EB"/>
          <w:sz w:val="21"/>
          <w:szCs w:val="21"/>
          <w:u w:val="single"/>
        </w:rPr>
        <w:t xml:space="preserve">  https://www.ilo.org/dyn/normlex/en/f?p=NORMLEXPUB:12100:0::NO::P12100_ILO_CODE:C161</w:t>
      </w:r>
    </w:p>
    <w:p>
      <w:pPr>
        <w:spacing w:after="140"/>
        <w:ind w:left="431" w:hanging="431"/>
      </w:pPr>
      <w:r>
        <w:rPr>
          <w:color w:val="1E293B"/>
          <w:sz w:val="21"/>
          <w:szCs w:val="21"/>
        </w:rPr>
        <w:t xml:space="preserve">International Ergonomics Association. Definition and Domains of Ergonomics.</w:t>
      </w:r>
      <w:r>
        <w:rPr>
          <w:color w:val="2563EB"/>
          <w:sz w:val="21"/>
          <w:szCs w:val="21"/>
          <w:u w:val="single"/>
        </w:rPr>
        <w:t xml:space="preserve">  https://iea.cc/about/what-is-ergonomics/</w:t>
      </w:r>
    </w:p>
    <w:p>
      <w:pPr>
        <w:spacing w:after="140"/>
        <w:ind w:left="431" w:hanging="431"/>
      </w:pPr>
      <w:r>
        <w:rPr>
          <w:color w:val="1E293B"/>
          <w:sz w:val="21"/>
          <w:szCs w:val="21"/>
        </w:rPr>
        <w:t xml:space="preserve">International Organization for Standardization. ISO 6385:2016 Ergonomics principles in the design of work systems.</w:t>
      </w:r>
      <w:r>
        <w:rPr>
          <w:color w:val="2563EB"/>
          <w:sz w:val="21"/>
          <w:szCs w:val="21"/>
          <w:u w:val="single"/>
        </w:rPr>
        <w:t xml:space="preserve">  https://www.iso.org/standard/63785.html</w:t>
      </w:r>
    </w:p>
    <w:p>
      <w:pPr>
        <w:spacing w:after="140"/>
        <w:ind w:left="431" w:hanging="431"/>
      </w:pPr>
      <w:r>
        <w:rPr>
          <w:color w:val="1E293B"/>
          <w:sz w:val="21"/>
          <w:szCs w:val="21"/>
        </w:rPr>
        <w:t xml:space="preserve">Kementerian Ketenagakerjaan RI. Regulasi Panitia Pembina Keselamatan dan Kesehatan Kerja (P2K3).</w:t>
      </w:r>
      <w:r>
        <w:rPr>
          <w:color w:val="2563EB"/>
          <w:sz w:val="21"/>
          <w:szCs w:val="21"/>
          <w:u w:val="single"/>
        </w:rPr>
        <w:t xml:space="preserve">  https://kemnaker.go.id</w:t>
      </w:r>
    </w:p>
    <w:p>
      <w:r>
        <w:br w:type="page"/>
      </w:r>
    </w:p>
    <w:p>
      <w:pPr>
        <w:pStyle w:val="Heading1"/>
        <w:pBdr>
          <w:bottom w:val="single" w:color="2563EB" w:sz="12" w:space="6"/>
        </w:pBdr>
        <w:spacing w:after="240" w:before="480"/>
      </w:pPr>
      <w:r>
        <w:rPr>
          <w:b/>
          <w:bCs/>
          <w:color w:val="0F172A"/>
          <w:sz w:val="34"/>
          <w:szCs w:val="34"/>
        </w:rPr>
        <w:t xml:space="preserve">Glosarium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7500"/>
      </w:tblGrid>
      <w:tr>
        <w:tc>
          <w:tcPr>
            <w:tcW w:type="pct" w:w="25%"/>
            <w:shd w:fill="0F172A" w:color="auto" w:val="clear"/>
            <w:tcMar>
              <w:top w:type="dxa" w:w="100"/>
              <w:left w:type="dxa" w:w="120"/>
              <w:bottom w:type="dxa" w:w="100"/>
              <w:right w:type="dxa" w:w="120"/>
            </w:tcMar>
          </w:tcPr>
          <w:p>
            <w:r>
              <w:rPr>
                <w:b/>
                <w:bCs/>
                <w:color w:val="FFFFFF"/>
                <w:sz w:val="21"/>
                <w:szCs w:val="21"/>
              </w:rPr>
              <w:t xml:space="preserve">Istilah</w:t>
            </w:r>
          </w:p>
        </w:tc>
        <w:tc>
          <w:tcPr>
            <w:tcW w:type="pct" w:w="75%"/>
            <w:shd w:fill="0F172A" w:color="auto" w:val="clear"/>
            <w:tcMar>
              <w:top w:type="dxa" w:w="100"/>
              <w:left w:type="dxa" w:w="120"/>
              <w:bottom w:type="dxa" w:w="100"/>
              <w:right w:type="dxa" w:w="120"/>
            </w:tcMar>
          </w:tcPr>
          <w:p>
            <w:r>
              <w:rPr>
                <w:color w:val="FFFFFF"/>
                <w:sz w:val="21"/>
                <w:szCs w:val="21"/>
              </w:rPr>
              <w:t xml:space="preserve">Penjelasan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K3</w:t>
            </w:r>
          </w:p>
        </w:tc>
        <w:tc>
          <w:tcPr>
            <w:tcW w:type="pct" w:w="75%"/>
            <w:tcMar>
              <w:top w:type="dxa" w:w="100"/>
              <w:left w:type="dxa" w:w="120"/>
              <w:bottom w:type="dxa" w:w="100"/>
              <w:right w:type="dxa" w:w="120"/>
            </w:tcMar>
          </w:tcPr>
          <w:p>
            <w:r>
              <w:rPr>
                <w:color w:val="1E293B"/>
                <w:sz w:val="21"/>
                <w:szCs w:val="21"/>
              </w:rPr>
              <w:t xml:space="preserve">Keselamatan dan Kesehatan Kerja; upaya pencegahan kecelakaan dan penyakit akibat kerja di lingkungan kerja.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P2K3</w:t>
            </w:r>
          </w:p>
        </w:tc>
        <w:tc>
          <w:tcPr>
            <w:tcW w:type="pct" w:w="75%"/>
            <w:tcMar>
              <w:top w:type="dxa" w:w="100"/>
              <w:left w:type="dxa" w:w="120"/>
              <w:bottom w:type="dxa" w:w="100"/>
              <w:right w:type="dxa" w:w="120"/>
            </w:tcMar>
          </w:tcPr>
          <w:p>
            <w:r>
              <w:rPr>
                <w:color w:val="1E293B"/>
                <w:sz w:val="21"/>
                <w:szCs w:val="21"/>
              </w:rPr>
              <w:t xml:space="preserve">Panitia Pembina Keselamatan dan Kesehatan Kerja, badan yang wajib dibentuk perusahaan tertentu di Indonesia sesuai regulasi ketenagakerjaan.</w:t>
            </w:r>
          </w:p>
        </w:tc>
      </w:tr>
      <w:tr>
        <w:tc>
          <w:tcPr>
            <w:tcW w:type="pct" w:w="25%"/>
            <w:shd w:fill="F1F5F9" w:color="auto" w:val="clear"/>
            <w:tcMar>
              <w:top w:type="dxa" w:w="100"/>
              <w:left w:type="dxa" w:w="120"/>
              <w:bottom w:type="dxa" w:w="100"/>
              <w:right w:type="dxa" w:w="120"/>
            </w:tcMar>
          </w:tcPr>
          <w:p>
            <w:r>
              <w:rPr>
                <w:b/>
                <w:bCs/>
                <w:color w:val="0F172A"/>
                <w:sz w:val="21"/>
                <w:szCs w:val="21"/>
              </w:rPr>
              <w:t xml:space="preserve">UKK (Upaya Kesehatan Kerja/Komunitas)</w:t>
            </w:r>
          </w:p>
        </w:tc>
        <w:tc>
          <w:tcPr>
            <w:tcW w:type="pct" w:w="75%"/>
            <w:tcMar>
              <w:top w:type="dxa" w:w="100"/>
              <w:left w:type="dxa" w:w="120"/>
              <w:bottom w:type="dxa" w:w="100"/>
              <w:right w:type="dxa" w:w="120"/>
            </w:tcMar>
          </w:tcPr>
          <w:p>
            <w:r>
              <w:rPr>
                <w:color w:val="1E293B"/>
                <w:sz w:val="21"/>
                <w:szCs w:val="21"/>
              </w:rPr>
              <w:t xml:space="preserve">Salah satu dari tiga pilar upaya kesehatan primer menurut penulis, berfokus pada kesehatan pekerja dan komunitas kerja.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Ergonomi</w:t>
            </w:r>
          </w:p>
        </w:tc>
        <w:tc>
          <w:tcPr>
            <w:tcW w:type="pct" w:w="75%"/>
            <w:tcMar>
              <w:top w:type="dxa" w:w="100"/>
              <w:left w:type="dxa" w:w="120"/>
              <w:bottom w:type="dxa" w:w="100"/>
              <w:right w:type="dxa" w:w="120"/>
            </w:tcMar>
          </w:tcPr>
          <w:p>
            <w:r>
              <w:rPr>
                <w:color w:val="1E293B"/>
                <w:sz w:val="21"/>
                <w:szCs w:val="21"/>
              </w:rPr>
              <w:t xml:space="preserve">Disiplin ilmu yang mempelajari keserasian interaksi antara manusia, alat, cara kerja, dan lingkungan untuk mengoptimalkan keselamatan dan kinerja.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ILO</w:t>
            </w:r>
          </w:p>
        </w:tc>
        <w:tc>
          <w:tcPr>
            <w:tcW w:type="pct" w:w="75%"/>
            <w:tcMar>
              <w:top w:type="dxa" w:w="100"/>
              <w:left w:type="dxa" w:w="120"/>
              <w:bottom w:type="dxa" w:w="100"/>
              <w:right w:type="dxa" w:w="120"/>
            </w:tcMar>
          </w:tcPr>
          <w:p>
            <w:r>
              <w:rPr>
                <w:color w:val="1E293B"/>
                <w:sz w:val="21"/>
                <w:szCs w:val="21"/>
              </w:rPr>
              <w:t xml:space="preserve">International Labour Organization, badan PBB yang menetapkan standar ketenagakerjaan internasional termasuk kesehatan kerja.</w:t>
            </w:r>
          </w:p>
        </w:tc>
      </w:tr>
      <w:tr>
        <w:tc>
          <w:tcPr>
            <w:tcW w:type="pct" w:w="25%"/>
            <w:shd w:fill="F1F5F9" w:color="auto" w:val="clear"/>
            <w:tcMar>
              <w:top w:type="dxa" w:w="100"/>
              <w:left w:type="dxa" w:w="120"/>
              <w:bottom w:type="dxa" w:w="100"/>
              <w:right w:type="dxa" w:w="120"/>
            </w:tcMar>
          </w:tcPr>
          <w:p>
            <w:r>
              <w:rPr>
                <w:b/>
                <w:bCs/>
                <w:color w:val="0F172A"/>
                <w:sz w:val="21"/>
                <w:szCs w:val="21"/>
              </w:rPr>
              <w:t xml:space="preserve">Skrining K3</w:t>
            </w:r>
          </w:p>
        </w:tc>
        <w:tc>
          <w:tcPr>
            <w:tcW w:type="pct" w:w="75%"/>
            <w:tcMar>
              <w:top w:type="dxa" w:w="100"/>
              <w:left w:type="dxa" w:w="120"/>
              <w:bottom w:type="dxa" w:w="100"/>
              <w:right w:type="dxa" w:w="120"/>
            </w:tcMar>
          </w:tcPr>
          <w:p>
            <w:r>
              <w:rPr>
                <w:color w:val="1E293B"/>
                <w:sz w:val="21"/>
                <w:szCs w:val="21"/>
              </w:rPr>
              <w:t xml:space="preserve">Proses pengumpulan data terstruktur untuk memetakan risiko kesehatan kerja pada suatu unit kerja/perusahaan.</w:t>
            </w:r>
          </w:p>
        </w:tc>
      </w:tr>
    </w:tbl>
    <w:p>
      <w:r>
        <w:br w:type="page"/>
      </w:r>
    </w:p>
    <w:p>
      <w:pPr>
        <w:pStyle w:val="Heading1"/>
        <w:pBdr>
          <w:bottom w:val="single" w:color="2563EB" w:sz="12" w:space="6"/>
        </w:pBdr>
        <w:spacing w:after="240" w:before="480"/>
      </w:pPr>
      <w:r>
        <w:rPr>
          <w:b/>
          <w:bCs/>
          <w:color w:val="0F172A"/>
          <w:sz w:val="34"/>
          <w:szCs w:val="34"/>
        </w:rPr>
        <w:t xml:space="preserve">Tentang Penulis &amp; Editor</w:t>
      </w:r>
    </w:p>
    <w:p>
      <w:pPr>
        <w:pStyle w:val="Heading2"/>
        <w:spacing w:after="160" w:before="320"/>
      </w:pPr>
      <w:r>
        <w:rPr>
          <w:b/>
          <w:bCs/>
          <w:color w:val="2563EB"/>
          <w:sz w:val="26"/>
          <w:szCs w:val="26"/>
        </w:rPr>
        <w:t xml:space="preserve">Tentang Penulis</w:t>
      </w:r>
    </w:p>
    <w:p>
      <w:pPr>
        <w:spacing w:after="160" w:line="320"/>
        <w:jc w:val="both"/>
      </w:pPr>
      <w:r>
        <w:rPr>
          <w:color w:val="1E293B"/>
          <w:sz w:val="22"/>
          <w:szCs w:val="22"/>
        </w:rPr>
        <w:t xml:space="preserve">Dr.dr. Jack Roebijoso, M.Sc.(om)., PKK. memulai kariernya sebagai dokter perusahaan/dokter kesehatan kerja di PG Kebon Agung, Malang, sejak akhir dekade 1980-an, sebelum kemudian mengembangkan gagasan integrasi K3 dengan layanan dokter keluarga yang menjadi ciri khas seluruh karyanya.</w:t>
      </w:r>
    </w:p>
    <w:p>
      <w:pPr>
        <w:pStyle w:val="Heading2"/>
        <w:spacing w:after="160" w:before="320"/>
      </w:pPr>
      <w:r>
        <w:rPr>
          <w:b/>
          <w:bCs/>
          <w:color w:val="2563EB"/>
          <w:sz w:val="26"/>
          <w:szCs w:val="26"/>
        </w:rPr>
        <w:t xml:space="preserve">Tentang Editor</w:t>
      </w:r>
    </w:p>
    <w:p>
      <w:pPr>
        <w:spacing w:after="160" w:line="320"/>
        <w:jc w:val="both"/>
      </w:pPr>
      <w:r>
        <w:rPr>
          <w:color w:val="1E293B"/>
          <w:sz w:val="22"/>
          <w:szCs w:val="22"/>
        </w:rPr>
        <w:t xml:space="preserve">Dr.dr. Budi Siswanto, Sp.OG., Subsp.Obginsos., SH., S.Kom. menyusun ulang studi kasus dan materi ajar K3 penulis menjadi buku keenam dari seri ini, dengan menambahkan konteks regulasi ketenagakerjaan nasional dan standar internasional agar dapat menjadi rujukan praktis bagi dokter perusahaan dan tim P2K3 di Indonesia.</w:t>
      </w:r>
    </w:p>
    <w:p>
      <w:pPr>
        <w:pBdr>
          <w:bottom w:val="single" w:color="CBD5E1" w:sz="6" w:space="1"/>
        </w:pBdr>
        <w:spacing w:after="200"/>
      </w:pPr>
    </w:p>
    <w:p>
      <w:pPr>
        <w:spacing w:after="80" w:before="300"/>
        <w:jc w:val="center"/>
      </w:pPr>
      <w:r>
        <w:rPr>
          <w:b/>
          <w:bCs/>
          <w:color w:val="0F172A"/>
          <w:sz w:val="22"/>
          <w:szCs w:val="22"/>
        </w:rPr>
        <w:t xml:space="preserve">Diterbitkan oleh Perpustakaan Digital ABBA</w:t>
      </w:r>
    </w:p>
    <w:p>
      <w:pPr>
        <w:jc w:val="center"/>
      </w:pPr>
      <w:r>
        <w:rPr>
          <w:color w:val="475569"/>
          <w:sz w:val="20"/>
          <w:szCs w:val="20"/>
        </w:rPr>
        <w:t xml:space="preserve">Naskah asli (studi kasus PG Kebon Agung Malang, materi kuliah S1 FK, dan MOU K3 KBA) disusun oleh Dr.dr. Jack Roebijoso, M.Sc.(om)., PKK. Diunggah pada Google Drive penulis, disusun ulang oleh editor.</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6"/>
        <w:szCs w:val="16"/>
      </w:rPr>
      <w:t xml:space="preserve">Perpustakaan Digital ABBA — </w:t>
    </w:r>
    <w:r>
      <w:rPr>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94A3B8"/>
        <w:sz w:val="16"/>
        <w:szCs w:val="16"/>
      </w:rPr>
      <w:t xml:space="preserve">K3 Terpadu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76" w:hanging="288"/>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2026-07-21T01:07:22.082Z</dcterms:created>
  <dcterms:modified xsi:type="dcterms:W3CDTF">2026-07-21T01:07:22.082Z</dcterms:modified>
</cp:coreProperties>
</file>

<file path=docProps/custom.xml><?xml version="1.0" encoding="utf-8"?>
<Properties xmlns="http://schemas.openxmlformats.org/officeDocument/2006/custom-properties" xmlns:vt="http://schemas.openxmlformats.org/officeDocument/2006/docPropsVTypes"/>
</file>