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5</w:t>
      </w:r>
    </w:p>
    <w:p>
      <w:pPr>
        <w:spacing w:after="300"/>
        <w:jc w:val="center"/>
      </w:pPr>
      <w:r>
        <w:rPr>
          <w:b/>
          <w:bCs/>
          <w:color w:val="0F172A"/>
          <w:sz w:val="56"/>
          <w:szCs w:val="56"/>
        </w:rPr>
        <w:t xml:space="preserve">LEAF: Lembar Edukasi Keluarga</w:t>
      </w:r>
    </w:p>
    <w:p>
      <w:pPr>
        <w:spacing w:after="600"/>
        <w:jc w:val="center"/>
      </w:pPr>
      <w:r>
        <w:rPr>
          <w:i/>
          <w:iCs/>
          <w:color w:val="475569"/>
          <w:sz w:val="26"/>
          <w:szCs w:val="26"/>
        </w:rPr>
        <w:t xml:space="preserve">Sebelas Panduan Praktis Menghadapi Keluhan Sehari-hari, dari Batuk Pilek hingga Kanker</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Sentuhan Pertama: Kebahagiaan sebagai Fondasi Hidup Sehat</w:t>
      </w:r>
      <w:r>
        <w:rPr>
          <w:sz w:val="23"/>
          <w:szCs w:val="23"/>
        </w:rPr>
        <w:t xml:space="preserve">	</w:t>
      </w:r>
    </w:p>
    <w:p>
      <w:pPr>
        <w:tabs>
          <w:tab w:val="right" w:pos="9026" w:leader="dot"/>
        </w:tabs>
        <w:spacing w:after="120"/>
      </w:pPr>
      <w:r>
        <w:rPr>
          <w:color w:val="1E293B"/>
          <w:sz w:val="23"/>
          <w:szCs w:val="23"/>
        </w:rPr>
        <w:t xml:space="preserve">2. Keluhan Sehari-hari: Enam Leaflet untuk Masalah Paling Umum</w:t>
      </w:r>
      <w:r>
        <w:rPr>
          <w:sz w:val="23"/>
          <w:szCs w:val="23"/>
        </w:rPr>
        <w:t xml:space="preserve">	</w:t>
      </w:r>
    </w:p>
    <w:p>
      <w:pPr>
        <w:tabs>
          <w:tab w:val="right" w:pos="9026" w:leader="dot"/>
        </w:tabs>
        <w:spacing w:after="120"/>
      </w:pPr>
      <w:r>
        <w:rPr>
          <w:color w:val="1E293B"/>
          <w:sz w:val="23"/>
          <w:szCs w:val="23"/>
        </w:rPr>
        <w:t xml:space="preserve">3. Penyakit Kronis Degeneratif: Empat Leaflet Utama</w:t>
      </w:r>
      <w:r>
        <w:rPr>
          <w:sz w:val="23"/>
          <w:szCs w:val="23"/>
        </w:rPr>
        <w:t xml:space="preserve">	</w:t>
      </w:r>
    </w:p>
    <w:p>
      <w:pPr>
        <w:tabs>
          <w:tab w:val="right" w:pos="9026" w:leader="dot"/>
        </w:tabs>
        <w:spacing w:after="120"/>
      </w:pPr>
      <w:r>
        <w:rPr>
          <w:color w:val="1E293B"/>
          <w:sz w:val="23"/>
          <w:szCs w:val="23"/>
        </w:rPr>
        <w:t xml:space="preserve">4. Dari Leaflet ke Algoritma: Model Diagnosa-Intervensi Kolaboratif</w:t>
      </w:r>
      <w:r>
        <w:rPr>
          <w:sz w:val="23"/>
          <w:szCs w:val="23"/>
        </w:rPr>
        <w:t xml:space="preserve">	</w:t>
      </w:r>
    </w:p>
    <w:p>
      <w:pPr>
        <w:spacing w:after="120"/>
      </w:pPr>
      <w:r>
        <w:rPr>
          <w:sz w:val="23"/>
          <w:szCs w:val="23"/>
        </w:rPr>
        <w:t xml:space="preserve">5. Rangkuman &amp; Penutup</w:t>
      </w:r>
    </w:p>
    <w:p>
      <w:pPr>
        <w:spacing w:after="120"/>
      </w:pPr>
      <w:r>
        <w:rPr>
          <w:sz w:val="23"/>
          <w:szCs w:val="23"/>
        </w:rPr>
        <w:t xml:space="preserve">6. Daftar Pustaka</w:t>
      </w:r>
    </w:p>
    <w:p>
      <w:pPr>
        <w:spacing w:after="120"/>
      </w:pPr>
      <w:r>
        <w:rPr>
          <w:sz w:val="23"/>
          <w:szCs w:val="23"/>
        </w:rPr>
        <w:t xml:space="preserve">7. Glosarium</w:t>
      </w:r>
    </w:p>
    <w:p>
      <w:pPr>
        <w:spacing w:after="120"/>
      </w:pPr>
      <w:r>
        <w:rPr>
          <w:sz w:val="23"/>
          <w:szCs w:val="23"/>
        </w:rPr>
        <w:t xml:space="preserve">8.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Buku kelima ini adalah kumpulan sebelas lembar edukasi (leaflet) pasien yang ditulis Dr.dr. Jack Roebijoso untuk dibagikan langsung kepada keluarga binaan kliniknya. Leaflet ini sengaja ditulis dengan bahasa yang sangat sederhana dan akrab — bahkan menggunakan istilah lokal seperti "boyok", "ngliyeng", dan "mbliyur" — karena tujuannya bukan mengesankan pembaca dengan istilah medis, melainkan benar-benar membuat pasien dan keluarganya paham dan mampu bertindak tepat di rumah.</w:t>
      </w:r>
    </w:p>
    <w:p>
      <w:pPr>
        <w:spacing w:after="160" w:line="320"/>
        <w:jc w:val="both"/>
      </w:pPr>
      <w:r>
        <w:rPr>
          <w:color w:val="1E293B"/>
          <w:sz w:val="22"/>
          <w:szCs w:val="22"/>
        </w:rPr>
        <w:t xml:space="preserve">Saya menyusun ulang kesebelas leaflet ini menjadi dua kelompok besar: keluhan akut/umum sehari-hari, dan penyakit kronis degeneratif, ditambah satu bab tentang algoritma kasus dan model poster kolaboratif yang dirancang penulis untuk memandu tenaga kesehatan menerapkan pendekatan yang sama secara terstruktur. Setiap bab dilengkapi kotak "Perspektif Tambahan" yang membandingkan penjelasan penulis dengan pedoman klinis resmi, agar pembaca memperoleh gambaran yang lebih lengkap tanpa kehilangan kearifan bahasa awam yang menjadi ciri khas naskah asli.</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Sentuhan Pertama: Kebahagiaan sebagai Fondasi Hidup Sehat</w:t>
      </w:r>
    </w:p>
    <w:p>
      <w:pPr>
        <w:spacing w:after="160" w:line="320"/>
        <w:jc w:val="both"/>
      </w:pPr>
      <w:r>
        <w:rPr>
          <w:color w:val="1E293B"/>
          <w:sz w:val="22"/>
          <w:szCs w:val="22"/>
        </w:rPr>
        <w:t xml:space="preserve">Leaflet pembuka seri ini, "Awal Sebuah Sentuhan: Hidup Sehat bagi Peserta BPJS", menegaskan tesis utama penulis bahwa kebahagiaan adalah awal sekaligus tujuan akhir dari upaya hidup sehat.</w:t>
      </w:r>
    </w:p>
    <w:p>
      <w:pPr>
        <w:pStyle w:val="Heading2"/>
        <w:spacing w:after="160" w:before="320"/>
      </w:pPr>
      <w:r>
        <w:rPr>
          <w:b/>
          <w:bCs/>
          <w:color w:val="2563EB"/>
          <w:sz w:val="26"/>
          <w:szCs w:val="26"/>
        </w:rPr>
        <w:t xml:space="preserve">Emosi sebagai Pemicu Penyakit</w:t>
      </w:r>
    </w:p>
    <w:p>
      <w:pPr>
        <w:spacing w:after="160" w:line="320"/>
        <w:jc w:val="both"/>
      </w:pPr>
      <w:r>
        <w:rPr>
          <w:color w:val="1E293B"/>
          <w:sz w:val="22"/>
          <w:szCs w:val="22"/>
        </w:rPr>
        <w:t xml:space="preserve">Penulis menegaskan bahwa hampir semua penyakit kronis (kencing manis, jantung, tekanan darah tinggi, stroke, kolesterol, asam urat, kanker) maupun penyakit infeksi dapat muncul dan berkembang lebih cepat akibat diawali kondisi emosional negatif seperti rasa waswas, takut, marah, kesal, dan dendam. Pesan ini menjadi pembuka yang konsisten dengan tema "supportive medicine" dan "holistic evidence base medicine" yang dibahas pada buku pertama seri ini.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Psikoneuroimunologi</w:t>
            </w:r>
          </w:p>
          <w:p>
            <w:pPr>
              <w:spacing w:after="90"/>
              <w:jc w:val="both"/>
            </w:pPr>
            <w:r>
              <w:rPr>
                <w:color w:val="134E4A"/>
                <w:sz w:val="21"/>
                <w:szCs w:val="21"/>
              </w:rPr>
              <w:t xml:space="preserve">Klaim bahwa emosi negatif memengaruhi risiko penyakit fisik memiliki dasar dalam disiplin psikoneuroimunologi, yang mempelajari interaksi antara sistem saraf, endokrin, dan imun. Berbagai tinjauan sistematis, misalnya yang dipublikasikan dalam jurnal Nature Reviews Immunology, menunjukkan bahwa stres psikologis kronis berkorelasi dengan peningkatan peradangan sistemik yang berperan pada berbagai penyakit kardiovaskular dan metabolik — memberi landasan ilmiah bagi klaim penulis meski hubungan sebab-akibatnya bersifat multifaktorial, bukan tunggal.</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Keluhan Sehari-hari: Enam Leaflet untuk Masalah Paling Umum</w:t>
      </w:r>
    </w:p>
    <w:p>
      <w:pPr>
        <w:spacing w:after="160" w:line="320"/>
        <w:jc w:val="both"/>
      </w:pPr>
      <w:r>
        <w:rPr>
          <w:color w:val="1E293B"/>
          <w:sz w:val="22"/>
          <w:szCs w:val="22"/>
        </w:rPr>
        <w:t xml:space="preserve">Enam leaflet dalam bab ini membahas keluhan yang paling sering ditemui di layanan primer, masing-masing disusun dengan format serupa: gejala, faktor pemicu, dan anjuran praktis di rumah sebelum atau selain berobat ke fasilitas kesehatan.</w:t>
      </w:r>
    </w:p>
    <w:p>
      <w:pPr>
        <w:pStyle w:val="Heading2"/>
        <w:spacing w:after="160" w:before="320"/>
      </w:pPr>
      <w:r>
        <w:rPr>
          <w:b/>
          <w:bCs/>
          <w:color w:val="2563EB"/>
          <w:sz w:val="26"/>
          <w:szCs w:val="26"/>
        </w:rPr>
        <w:t xml:space="preserve">Batuk Pilek, Pusing, dan Pegal Linu</w:t>
      </w:r>
    </w:p>
    <w:p>
      <w:pPr>
        <w:spacing w:after="160" w:line="320"/>
        <w:jc w:val="both"/>
      </w:pPr>
      <w:r>
        <w:rPr>
          <w:color w:val="1E293B"/>
          <w:sz w:val="22"/>
          <w:szCs w:val="22"/>
        </w:rPr>
        <w:t xml:space="preserve">Untuk batuk-pilek pada anak balita dan anak sekolah, penulis menyoroti faktor risiko yang sering luput dari perhatian orang tua: kurang tidur (idealnya 6-10 jam semalam) yang menurunkan daya tahan tubuh, serta konsumsi makanan/minuman dingin dan paparan udara dingin/hujan sebagai pemicu.</w:t>
      </w:r>
    </w:p>
    <w:p>
      <w:pPr>
        <w:spacing w:after="160" w:line="320"/>
        <w:jc w:val="both"/>
      </w:pPr>
      <w:r>
        <w:rPr>
          <w:color w:val="1E293B"/>
          <w:sz w:val="22"/>
          <w:szCs w:val="22"/>
        </w:rPr>
        <w:t xml:space="preserve">Leaflet "Pusing" secara cermat membedakan tiga jenis keluhan yang sering dicampuradukkan masyarakat: nyeri kepala (cekot-cekot), pening/mumet/mbliyur, dan leher kaku — masing-masing dengan pemicu yang berbeda seperti konsumsi es/makanan dingin, pekerjaan yang membutuhkan ketelitian visual berkepanjangan (membaca, komputer, menjahit), atau posisi leher yang salah.</w:t>
      </w:r>
    </w:p>
    <w:p>
      <w:pPr>
        <w:spacing w:after="160" w:line="320"/>
        <w:jc w:val="both"/>
      </w:pPr>
      <w:r>
        <w:rPr>
          <w:color w:val="1E293B"/>
          <w:sz w:val="22"/>
          <w:szCs w:val="22"/>
        </w:rPr>
        <w:t xml:space="preserve">Leaflet "Pegal Linu" menyoroti fenomena kesalahpahaman awam yang sering terjadi: nyeri otot-sendi-tulang yang dikira penyakit asam urat akibat iklan televisi, nyeri pinggang (boyok) yang ditakutkan sebagai penyakit ginjal, atau nyeri leher yang dikira gejala tekanan darah tinggi — penulis secara eksplisit mengaitkan kesalahpahaman ini dengan informasi media massa yang kurang jelas.</w:t>
      </w:r>
    </w:p>
    <w:p>
      <w:pPr>
        <w:pStyle w:val="Heading2"/>
        <w:spacing w:after="160" w:before="320"/>
      </w:pPr>
      <w:r>
        <w:rPr>
          <w:b/>
          <w:bCs/>
          <w:color w:val="2563EB"/>
          <w:sz w:val="26"/>
          <w:szCs w:val="26"/>
        </w:rPr>
        <w:t xml:space="preserve">Gatal, Maag, dan Gangguan Saluran Kencing</w:t>
      </w:r>
    </w:p>
    <w:p>
      <w:pPr>
        <w:spacing w:after="160" w:line="320"/>
        <w:jc w:val="both"/>
      </w:pPr>
      <w:r>
        <w:rPr>
          <w:color w:val="1E293B"/>
          <w:sz w:val="22"/>
          <w:szCs w:val="22"/>
        </w:rPr>
        <w:t xml:space="preserve">Leaflet "Gatal/Alergi Kulit dan Jerawat" membedakan penyebab gatal akibat alergi (reaksi terhadap bahan asing yang menempel di kulit atau masuk lewat makanan/minuman) versus infeksi (virus, basil, parasit, jamur), dengan daftar bahan pemicu alergi kulit yang umum ditemui sehari-hari.</w:t>
      </w:r>
    </w:p>
    <w:p>
      <w:pPr>
        <w:spacing w:after="160" w:line="320"/>
        <w:jc w:val="both"/>
      </w:pPr>
      <w:r>
        <w:rPr>
          <w:color w:val="1E293B"/>
          <w:sz w:val="22"/>
          <w:szCs w:val="22"/>
        </w:rPr>
        <w:t xml:space="preserve">Leaflet "Gangguan Pencernaan dan Hati" mencakup spektrum luas mulai infeksi perut musiman (muntaber, tifus, hepatitis A/B/C, cacingan) hingga maag/gastritis dan kerusakan hati kronis, sementara leaflet "Gangguan Saluran Kencing" fokus pada dua keluhan tersering: batu ginjal pada laki-laki (ditandai nyeri pinggang hebat yang merambat ke perut bawah) dan keputihan pada perempuan.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Meluruskan Miskonsepsi Kesehatan Populer</w:t>
            </w:r>
          </w:p>
          <w:p>
            <w:pPr>
              <w:spacing w:after="90"/>
              <w:jc w:val="both"/>
            </w:pPr>
            <w:r>
              <w:rPr>
                <w:color w:val="134E4A"/>
                <w:sz w:val="21"/>
                <w:szCs w:val="21"/>
              </w:rPr>
              <w:t xml:space="preserve">Kekhawatiran penulis tentang miskonsepsi masyarakat terkait "asam urat" dan nyeri otot sejalan dengan temuan berbagai studi literasi kesehatan di Indonesia yang menunjukkan tingginya prevalensi mispersepsi akibat informasi kesehatan yang tidak terverifikasi di media sosial dan iklan komersial. Kementerian Kesehatan RI melalui program Gerakan Masyarakat Hidup Sehat (Germas) secara konsisten menekankan pentingnya sumber informasi kesehatan yang terverifikasi sebagai bagian dari strategi promosi kesehatan nasional.</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Penyakit Kronis Degeneratif: Empat Leaflet Utama</w:t>
      </w:r>
    </w:p>
    <w:p>
      <w:pPr>
        <w:spacing w:after="160" w:line="320"/>
        <w:jc w:val="both"/>
      </w:pPr>
      <w:r>
        <w:rPr>
          <w:color w:val="1E293B"/>
          <w:sz w:val="22"/>
          <w:szCs w:val="22"/>
        </w:rPr>
        <w:t xml:space="preserve">Empat leaflet dalam bab ini membahas penyakit kronis degeneratif yang menjadi beban kesehatan utama di era Jaminan Kesehatan Nasional: hipertensi, diabetes, stres, dan kanker.</w:t>
      </w:r>
    </w:p>
    <w:p>
      <w:pPr>
        <w:pStyle w:val="Heading2"/>
        <w:spacing w:after="160" w:before="320"/>
      </w:pPr>
      <w:r>
        <w:rPr>
          <w:b/>
          <w:bCs/>
          <w:color w:val="2563EB"/>
          <w:sz w:val="26"/>
          <w:szCs w:val="26"/>
        </w:rPr>
        <w:t xml:space="preserve">Tekanan Darah Tinggi dan Kencing Manis</w:t>
      </w:r>
    </w:p>
    <w:p>
      <w:pPr>
        <w:spacing w:after="160" w:line="320"/>
        <w:jc w:val="both"/>
      </w:pPr>
      <w:r>
        <w:rPr>
          <w:color w:val="1E293B"/>
          <w:sz w:val="22"/>
          <w:szCs w:val="22"/>
        </w:rPr>
        <w:t xml:space="preserve">Leaflet "Tekanan Darah Tinggi" menekankan bahwa penyakit ini jarang berdiri sendiri — setelah diderita lama (lebih dari lima tahun) umumnya berkaitan dengan penyakit lain seperti diabetes, jantung, dan gangguan ginjal — dan sebagian besar disebabkan oleh stres pikiran berkepanjangan, meski keluhan sehari-harinya sering tanpa gejala jelas (silent killer), kecuali rasa tegang di kepala bagian belakang atau pusing/ngliyeng.</w:t>
      </w:r>
    </w:p>
    <w:p>
      <w:pPr>
        <w:spacing w:after="160" w:line="320"/>
        <w:jc w:val="both"/>
      </w:pPr>
      <w:r>
        <w:rPr>
          <w:color w:val="1E293B"/>
          <w:sz w:val="22"/>
          <w:szCs w:val="22"/>
        </w:rPr>
        <w:t xml:space="preserve">Leaflet "Kencing Manis (Diabetes Mellitus)" menjelaskan batasan diagnosis berdasarkan kadar gula darah puasa (di atas 136 mg/dL) dan dua jam setelah makan (di atas 150 mg/dL) akibat kekurangan hormon insulin, dengan catatan penting bahwa nilai batas ini diambil dari rata-rata populasi Indonesia sehingga bersifat indikatif, bukan mutlak untuk setiap individu.</w:t>
      </w:r>
    </w:p>
    <w:p>
      <w:pPr>
        <w:pStyle w:val="Heading2"/>
        <w:spacing w:after="160" w:before="320"/>
      </w:pPr>
      <w:r>
        <w:rPr>
          <w:b/>
          <w:bCs/>
          <w:color w:val="2563EB"/>
          <w:sz w:val="26"/>
          <w:szCs w:val="26"/>
        </w:rPr>
        <w:t xml:space="preserve">Stres/Distress dan Kanker/Tumor Ganas</w:t>
      </w:r>
    </w:p>
    <w:p>
      <w:pPr>
        <w:spacing w:after="160" w:line="320"/>
        <w:jc w:val="both"/>
      </w:pPr>
      <w:r>
        <w:rPr>
          <w:color w:val="1E293B"/>
          <w:sz w:val="22"/>
          <w:szCs w:val="22"/>
        </w:rPr>
        <w:t xml:space="preserve">Leaflet "Stress/Distress" mendefinisikan distress secara sederhana sebagai keadaan kejiwaan akibat perbedaan (gap) antara angan-angan dan kenyataan hidup — semakin besar jaraknya, semakin berat tingkat stresnya — dengan dampak kronis berupa gangguan hormonal, sulit tidur, hingga kerusakan organ tubuh, terutama pada individu dengan predisposisi penyakit keturunan tertentu.</w:t>
      </w:r>
    </w:p>
    <w:p>
      <w:pPr>
        <w:spacing w:after="160" w:line="320"/>
        <w:jc w:val="both"/>
      </w:pPr>
      <w:r>
        <w:rPr>
          <w:color w:val="1E293B"/>
          <w:sz w:val="22"/>
          <w:szCs w:val="22"/>
        </w:rPr>
        <w:t xml:space="preserve">Leaflet "Kanker/Tumor Ganas" secara jujur mengakui bahwa penyebab utamanya sulit diketahui secara pasti (multifaktorial), mencakup faktor bakat/keturunan, stres kejiwaan kronis, infeksi virus, polusi makanan/lingkungan (pestisida, logam berat, produk sisa minyak bumi), pengobatan hormonal, hingga faktor reproduksi seperti riwayat tidak menyusui bagi kasus tumor payudara.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Faktor Risiko Kanker menurut Badan Kesehatan Dunia</w:t>
            </w:r>
          </w:p>
          <w:p>
            <w:pPr>
              <w:spacing w:after="90"/>
              <w:jc w:val="both"/>
            </w:pPr>
            <w:r>
              <w:rPr>
                <w:color w:val="134E4A"/>
                <w:sz w:val="21"/>
                <w:szCs w:val="21"/>
              </w:rPr>
              <w:t xml:space="preserve">Penjelasan multifaktorial penyebab kanker yang disampaikan penulis konsisten dengan posisi International Agency for Research on Cancer (IARC) di bawah WHO, yang mengklasifikasikan faktor risiko kanker ke dalam kategori genetik, infeksi (virus hepatitis, HPV, dsb.), paparan bahan kimia karsinogenik, dan faktor gaya hidup (merokok, pola makan, aktivitas fisik). Adapun kaitan riwayat menyusui dengan risiko tumor payudara juga didukung berbagai meta-analisis epidemiologi, seperti dipublikasikan Collaborative Group on Hormonal Factors in Breast Cancer di jurnal The Lancet, yang menunjukkan efek protektif menyusui terhadap risiko kanker payudara.</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Dari Leaflet ke Algoritma: Model Diagnosa-Intervensi Kolaboratif</w:t>
      </w:r>
    </w:p>
    <w:p>
      <w:pPr>
        <w:spacing w:after="160" w:line="320"/>
        <w:jc w:val="both"/>
      </w:pPr>
      <w:r>
        <w:rPr>
          <w:color w:val="1E293B"/>
          <w:sz w:val="22"/>
          <w:szCs w:val="22"/>
        </w:rPr>
        <w:t xml:space="preserve">Bab penutup ini membahas bagaimana penulis mengubah leaflet-leaflet edukatif menjadi algoritma kerja terstruktur bagi tenaga kesehatan, menggunakan kasus batuk-pilek pada anak dan remaja sebagai contoh model.</w:t>
      </w:r>
    </w:p>
    <w:p>
      <w:pPr>
        <w:pStyle w:val="Heading2"/>
        <w:spacing w:after="160" w:before="320"/>
      </w:pPr>
      <w:r>
        <w:rPr>
          <w:b/>
          <w:bCs/>
          <w:color w:val="2563EB"/>
          <w:sz w:val="26"/>
          <w:szCs w:val="26"/>
        </w:rPr>
        <w:t xml:space="preserve">Algoritma Kasus Batuk Pilek pada Anak dan Remaja</w:t>
      </w:r>
    </w:p>
    <w:p>
      <w:pPr>
        <w:spacing w:after="160" w:line="320"/>
        <w:jc w:val="both"/>
      </w:pPr>
      <w:r>
        <w:rPr>
          <w:color w:val="1E293B"/>
          <w:sz w:val="22"/>
          <w:szCs w:val="22"/>
        </w:rPr>
        <w:t xml:space="preserve">Dalam modul "Algoritma Model Diagnosa dan Intervensi: Holistik/Komprehensif/Integratif" untuk kasus batuk-pilek/faringitis/tonsilitis/flu, penulis merancang alur kerja dua tahap: diagnosis klinis (simptom, patofisiologi, keluhan penyerta) dipasangkan dengan intervensi tingkat FKTP (medikamentosa dan non-medikamentosa) — sebuah model yang dapat direplikasi untuk keluhan lain sebagai standar kerja tenaga kesehatan primer.</w:t>
      </w:r>
    </w:p>
    <w:p>
      <w:pPr>
        <w:spacing w:after="160" w:line="320"/>
        <w:jc w:val="both"/>
      </w:pPr>
      <w:r>
        <w:rPr>
          <w:color w:val="1E293B"/>
          <w:sz w:val="22"/>
          <w:szCs w:val="22"/>
        </w:rPr>
        <w:t xml:space="preserve">Materi "Poster Kolaborasi Batuk Pilek" mengambil inti pesan dari leaflet batuk-pilek dan mengemasnya ke dalam format poster visual, dimaksudkan untuk dipasang di ruang tunggu klinik/Puskesmas sebagai media edukasi pasif yang menjangkau lebih banyak keluarga sekaligus, melengkapi leaflet cetak yang dibagikan secara individual.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Efektivitas Media Cetak dalam Edukasi Kesehatan</w:t>
            </w:r>
          </w:p>
          <w:p>
            <w:pPr>
              <w:spacing w:after="90"/>
              <w:jc w:val="both"/>
            </w:pPr>
            <w:r>
              <w:rPr>
                <w:color w:val="134E4A"/>
                <w:sz w:val="21"/>
                <w:szCs w:val="21"/>
              </w:rPr>
              <w:t xml:space="preserve">Kombinasi leaflet individual dan poster ruang tunggu yang dirancang penulis sejalan dengan prinsip bauran media (media mix) dalam komunikasi kesehatan, yang menurut tinjauan Cochrane Collaboration tentang materi edukasi cetak (printed educational materials) terbukti dapat meningkatkan pengetahuan pasien meski efeknya terhadap perubahan perilaku jangka panjang bervariasi dan idealnya dikombinasikan dengan edukasi tatap muka — sebuah prinsip yang telah diterapkan penulis lewat kombinasi leaflet, poster, dan sesi tatap muka dokter keluarga.</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Kesebelas leaflet dalam buku ini adalah bukti nyata bagaimana pengetahuan kedokteran dapat "diturunkan" ke bahasa yang benar-benar dipahami masyarakat awam tanpa kehilangan akurasi esensinya. Konsistensi format setiap leaflet — gejala, faktor pemicu, dan anjuran praktis — menjadikannya mudah direplikasi untuk keluhan-keluhan lain di luar sebelas topik yang dibahas di sini.</w:t>
      </w:r>
    </w:p>
    <w:p>
      <w:pPr>
        <w:spacing w:after="160" w:line="320"/>
        <w:jc w:val="both"/>
      </w:pPr>
      <w:r>
        <w:rPr>
          <w:color w:val="1E293B"/>
          <w:sz w:val="22"/>
          <w:szCs w:val="22"/>
        </w:rPr>
        <w:t xml:space="preserve">Bagi tenaga kesehatan primer yang ingin mengadaptasi leaflet semacam ini di wilayah kerjanya masing-masing, prinsip utamanya adalah tetap mempertahankan kesederhanaan bahasa dan kedekatan istilah lokal, sembari memastikan informasi medis yang disampaikan tervalidasi oleh pedoman klinis terkini.</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Seri Leaflet LFT 1-11 (Batuk Pilek, Pusing, Hipertensi, Pegal Linu, Gatal, Diabetes, Stress, Maag, Kencing, Kanker), Algoritma Kasus Batuk Pilek, dan Poster Kolaborasi (koleksi pribadi, tidak dipublikasikan).</w:t>
      </w:r>
    </w:p>
    <w:p>
      <w:pPr>
        <w:spacing w:after="140"/>
        <w:ind w:left="431" w:hanging="431"/>
      </w:pPr>
      <w:r>
        <w:rPr>
          <w:color w:val="1E293B"/>
          <w:sz w:val="21"/>
          <w:szCs w:val="21"/>
        </w:rPr>
        <w:t xml:space="preserve">Slavich, G.M. &amp; Irwin, M.R. From stress to inflammation and major depressive disorder: a social signal transduction theory of depression. Psychological Bulletin, 2014.</w:t>
      </w:r>
    </w:p>
    <w:p>
      <w:pPr>
        <w:spacing w:after="140"/>
        <w:ind w:left="431" w:hanging="431"/>
      </w:pPr>
      <w:r>
        <w:rPr>
          <w:color w:val="1E293B"/>
          <w:sz w:val="21"/>
          <w:szCs w:val="21"/>
        </w:rPr>
        <w:t xml:space="preserve">Kementerian Kesehatan RI. Gerakan Masyarakat Hidup Sehat (Germas).</w:t>
      </w:r>
      <w:r>
        <w:rPr>
          <w:color w:val="2563EB"/>
          <w:sz w:val="21"/>
          <w:szCs w:val="21"/>
          <w:u w:val="single"/>
        </w:rPr>
        <w:t xml:space="preserve">  https://kemkes.go.id/id/germas</w:t>
      </w:r>
    </w:p>
    <w:p>
      <w:pPr>
        <w:spacing w:after="140"/>
        <w:ind w:left="431" w:hanging="431"/>
      </w:pPr>
      <w:r>
        <w:rPr>
          <w:color w:val="1E293B"/>
          <w:sz w:val="21"/>
          <w:szCs w:val="21"/>
        </w:rPr>
        <w:t xml:space="preserve">International Agency for Research on Cancer (IARC), World Health Organization. Agents Classified by the IARC Monographs.</w:t>
      </w:r>
      <w:r>
        <w:rPr>
          <w:color w:val="2563EB"/>
          <w:sz w:val="21"/>
          <w:szCs w:val="21"/>
          <w:u w:val="single"/>
        </w:rPr>
        <w:t xml:space="preserve">  https://monographs.iarc.who.int/agents-classified-by-the-iarc/</w:t>
      </w:r>
    </w:p>
    <w:p>
      <w:pPr>
        <w:spacing w:after="140"/>
        <w:ind w:left="431" w:hanging="431"/>
      </w:pPr>
      <w:r>
        <w:rPr>
          <w:color w:val="1E293B"/>
          <w:sz w:val="21"/>
          <w:szCs w:val="21"/>
        </w:rPr>
        <w:t xml:space="preserve">Collaborative Group on Hormonal Factors in Breast Cancer. Breast cancer and breastfeeding: collaborative reanalysis. The Lancet, 2002.</w:t>
      </w:r>
      <w:r>
        <w:rPr>
          <w:color w:val="2563EB"/>
          <w:sz w:val="21"/>
          <w:szCs w:val="21"/>
          <w:u w:val="single"/>
        </w:rPr>
        <w:t xml:space="preserve">  https://www.thelancet.com/journals/lancet/article/PIIS0140-6736(02)09454-0/fulltext</w:t>
      </w:r>
    </w:p>
    <w:p>
      <w:pPr>
        <w:spacing w:after="140"/>
        <w:ind w:left="431" w:hanging="431"/>
      </w:pPr>
      <w:r>
        <w:rPr>
          <w:color w:val="1E293B"/>
          <w:sz w:val="21"/>
          <w:szCs w:val="21"/>
        </w:rPr>
        <w:t xml:space="preserve">Giguère, A. et al. Printed educational materials: effects on professional practice and healthcare outcomes. Cochrane Database of Systematic Reviews.</w:t>
      </w:r>
      <w:r>
        <w:rPr>
          <w:color w:val="2563EB"/>
          <w:sz w:val="21"/>
          <w:szCs w:val="21"/>
          <w:u w:val="single"/>
        </w:rPr>
        <w:t xml:space="preserve">  https://www.cochranelibrary.com/cdsr/doi/10.1002/14651858.CD004398.pub4/full</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Leaflet (LEAF)</w:t>
            </w:r>
          </w:p>
        </w:tc>
        <w:tc>
          <w:tcPr>
            <w:tcW w:type="pct" w:w="75%"/>
            <w:tcMar>
              <w:top w:type="dxa" w:w="100"/>
              <w:left w:type="dxa" w:w="120"/>
              <w:bottom w:type="dxa" w:w="100"/>
              <w:right w:type="dxa" w:w="120"/>
            </w:tcMar>
          </w:tcPr>
          <w:p>
            <w:r>
              <w:rPr>
                <w:color w:val="1E293B"/>
                <w:sz w:val="21"/>
                <w:szCs w:val="21"/>
              </w:rPr>
              <w:t xml:space="preserve">Lembar cetak berisi informasi edukasi kesehatan ringkas yang dibagikan langsung kepada pasien/keluarga.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Distress</w:t>
            </w:r>
          </w:p>
        </w:tc>
        <w:tc>
          <w:tcPr>
            <w:tcW w:type="pct" w:w="75%"/>
            <w:tcMar>
              <w:top w:type="dxa" w:w="100"/>
              <w:left w:type="dxa" w:w="120"/>
              <w:bottom w:type="dxa" w:w="100"/>
              <w:right w:type="dxa" w:w="120"/>
            </w:tcMar>
          </w:tcPr>
          <w:p>
            <w:r>
              <w:rPr>
                <w:color w:val="1E293B"/>
                <w:sz w:val="21"/>
                <w:szCs w:val="21"/>
              </w:rPr>
              <w:t xml:space="preserve">Kondisi tekanan psikologis akibat kesenjangan antara harapan dan kenyataan hidup seseorang.</w:t>
            </w:r>
          </w:p>
        </w:tc>
      </w:tr>
      <w:tr>
        <w:tc>
          <w:tcPr>
            <w:tcW w:type="pct" w:w="25%"/>
            <w:shd w:fill="F1F5F9" w:color="auto" w:val="clear"/>
            <w:tcMar>
              <w:top w:type="dxa" w:w="100"/>
              <w:left w:type="dxa" w:w="120"/>
              <w:bottom w:type="dxa" w:w="100"/>
              <w:right w:type="dxa" w:w="120"/>
            </w:tcMar>
          </w:tcPr>
          <w:p>
            <w:r>
              <w:rPr>
                <w:b/>
                <w:bCs/>
                <w:color w:val="0F172A"/>
                <w:sz w:val="21"/>
                <w:szCs w:val="21"/>
              </w:rPr>
              <w:t xml:space="preserve">Boyok, Ngliyeng, Mbliyur</w:t>
            </w:r>
          </w:p>
        </w:tc>
        <w:tc>
          <w:tcPr>
            <w:tcW w:type="pct" w:w="75%"/>
            <w:tcMar>
              <w:top w:type="dxa" w:w="100"/>
              <w:left w:type="dxa" w:w="120"/>
              <w:bottom w:type="dxa" w:w="100"/>
              <w:right w:type="dxa" w:w="120"/>
            </w:tcMar>
          </w:tcPr>
          <w:p>
            <w:r>
              <w:rPr>
                <w:color w:val="1E293B"/>
                <w:sz w:val="21"/>
                <w:szCs w:val="21"/>
              </w:rPr>
              <w:t xml:space="preserve">Istilah bahasa Jawa untuk keluhan pinggang, pusing berputar, dan pusing melayang yang dipakai penulis agar lebih akrab bagi pasien lokal.</w:t>
            </w:r>
          </w:p>
        </w:tc>
      </w:tr>
      <w:tr>
        <w:tc>
          <w:tcPr>
            <w:tcW w:type="pct" w:w="25%"/>
            <w:shd w:fill="F1F5F9" w:color="auto" w:val="clear"/>
            <w:tcMar>
              <w:top w:type="dxa" w:w="100"/>
              <w:left w:type="dxa" w:w="120"/>
              <w:bottom w:type="dxa" w:w="100"/>
              <w:right w:type="dxa" w:w="120"/>
            </w:tcMar>
          </w:tcPr>
          <w:p>
            <w:r>
              <w:rPr>
                <w:b/>
                <w:bCs/>
                <w:color w:val="0F172A"/>
                <w:sz w:val="21"/>
                <w:szCs w:val="21"/>
              </w:rPr>
              <w:t xml:space="preserve">Silent Killer</w:t>
            </w:r>
          </w:p>
        </w:tc>
        <w:tc>
          <w:tcPr>
            <w:tcW w:type="pct" w:w="75%"/>
            <w:tcMar>
              <w:top w:type="dxa" w:w="100"/>
              <w:left w:type="dxa" w:w="120"/>
              <w:bottom w:type="dxa" w:w="100"/>
              <w:right w:type="dxa" w:w="120"/>
            </w:tcMar>
          </w:tcPr>
          <w:p>
            <w:r>
              <w:rPr>
                <w:color w:val="1E293B"/>
                <w:sz w:val="21"/>
                <w:szCs w:val="21"/>
              </w:rPr>
              <w:t xml:space="preserve">Julukan untuk penyakit seperti hipertensi yang sering tidak menimbulkan gejala jelas namun berbahaya bila dibiarkan tanpa penanganan.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Psikoneuroimunologi</w:t>
            </w:r>
          </w:p>
        </w:tc>
        <w:tc>
          <w:tcPr>
            <w:tcW w:type="pct" w:w="75%"/>
            <w:tcMar>
              <w:top w:type="dxa" w:w="100"/>
              <w:left w:type="dxa" w:w="120"/>
              <w:bottom w:type="dxa" w:w="100"/>
              <w:right w:type="dxa" w:w="120"/>
            </w:tcMar>
          </w:tcPr>
          <w:p>
            <w:r>
              <w:rPr>
                <w:color w:val="1E293B"/>
                <w:sz w:val="21"/>
                <w:szCs w:val="21"/>
              </w:rPr>
              <w:t xml:space="preserve">Disiplin ilmu yang mempelajari interaksi antara sistem saraf, endokrin, dan kekebalan tubuh, termasuk pengaruh stres terhadap kesehatan fisik.</w:t>
            </w:r>
          </w:p>
        </w:tc>
      </w:tr>
      <w:tr>
        <w:tc>
          <w:tcPr>
            <w:tcW w:type="pct" w:w="25%"/>
            <w:shd w:fill="F1F5F9" w:color="auto" w:val="clear"/>
            <w:tcMar>
              <w:top w:type="dxa" w:w="100"/>
              <w:left w:type="dxa" w:w="120"/>
              <w:bottom w:type="dxa" w:w="100"/>
              <w:right w:type="dxa" w:w="120"/>
            </w:tcMar>
          </w:tcPr>
          <w:p>
            <w:r>
              <w:rPr>
                <w:b/>
                <w:bCs/>
                <w:color w:val="0F172A"/>
                <w:sz w:val="21"/>
                <w:szCs w:val="21"/>
              </w:rPr>
              <w:t xml:space="preserve">IARC</w:t>
            </w:r>
          </w:p>
        </w:tc>
        <w:tc>
          <w:tcPr>
            <w:tcW w:type="pct" w:w="75%"/>
            <w:tcMar>
              <w:top w:type="dxa" w:w="100"/>
              <w:left w:type="dxa" w:w="120"/>
              <w:bottom w:type="dxa" w:w="100"/>
              <w:right w:type="dxa" w:w="120"/>
            </w:tcMar>
          </w:tcPr>
          <w:p>
            <w:r>
              <w:rPr>
                <w:color w:val="1E293B"/>
                <w:sz w:val="21"/>
                <w:szCs w:val="21"/>
              </w:rPr>
              <w:t xml:space="preserve">International Agency for Research on Cancer, badan WHO yang mengklasifikasikan faktor risiko dan zat karsinogenik.</w:t>
            </w:r>
          </w:p>
        </w:tc>
      </w:tr>
      <w:tr>
        <w:tc>
          <w:tcPr>
            <w:tcW w:type="pct" w:w="25%"/>
            <w:shd w:fill="F1F5F9" w:color="auto" w:val="clear"/>
            <w:tcMar>
              <w:top w:type="dxa" w:w="100"/>
              <w:left w:type="dxa" w:w="120"/>
              <w:bottom w:type="dxa" w:w="100"/>
              <w:right w:type="dxa" w:w="120"/>
            </w:tcMar>
          </w:tcPr>
          <w:p>
            <w:r>
              <w:rPr>
                <w:b/>
                <w:bCs/>
                <w:color w:val="0F172A"/>
                <w:sz w:val="21"/>
                <w:szCs w:val="21"/>
              </w:rPr>
              <w:t xml:space="preserve">Media Mix (Bauran Media)</w:t>
            </w:r>
          </w:p>
        </w:tc>
        <w:tc>
          <w:tcPr>
            <w:tcW w:type="pct" w:w="75%"/>
            <w:tcMar>
              <w:top w:type="dxa" w:w="100"/>
              <w:left w:type="dxa" w:w="120"/>
              <w:bottom w:type="dxa" w:w="100"/>
              <w:right w:type="dxa" w:w="120"/>
            </w:tcMar>
          </w:tcPr>
          <w:p>
            <w:r>
              <w:rPr>
                <w:color w:val="1E293B"/>
                <w:sz w:val="21"/>
                <w:szCs w:val="21"/>
              </w:rPr>
              <w:t xml:space="preserve">Strategi komunikasi kesehatan yang menggabungkan berbagai media (cetak, tatap muka, audio-visual) untuk memperkuat penyampaian pesan.</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menulis seri leaflet ini sebagai materi edukasi langsung untuk keluarga binaan kliniknya, dengan pendekatan bahasa yang sengaja disederhanakan dan diakrabkan dengan istilah lokal agar benar-benar dipahami dan diterapkan oleh masyarakat awam.</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menyusun ulang kesebelas leaflet penulis menjadi satu buku tematik yang runtut, dilengkapi rujukan pedoman klinis dan riset terkini sebagai pembanding bagi setiap topik yang dibahas.</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seri leaflet (LFT 1-11) dan modul algoritma kasus/poster kolaborasi disusun oleh Dr.dr. Jack Roebijoso, M.Sc.(om)., PKK. Diunggah pada Google Drive penulis, disusun ulang oleh editor.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LEAF: Lembar Edukasi Keluarga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2026-07-21T01:07:21.778Z</dcterms:created>
  <dcterms:modified xsi:type="dcterms:W3CDTF">2026-07-21T01:07:21.778Z</dcterms:modified>
</cp:coreProperties>
</file>

<file path=docProps/custom.xml><?xml version="1.0" encoding="utf-8"?>
<Properties xmlns="http://schemas.openxmlformats.org/officeDocument/2006/custom-properties" xmlns:vt="http://schemas.openxmlformats.org/officeDocument/2006/docPropsVTypes"/>
</file>